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994C00"/>
          <w:sz w:val="68"/>
        </w:rPr>
        <w:t>RAM RAJYA</w:t>
      </w:r>
    </w:p>
    <w:p>
      <w:pPr>
        <w:jc w:val="center"/>
      </w:pPr>
      <w:r>
        <w:rPr>
          <w:b/>
          <w:color w:val="464646"/>
          <w:sz w:val="40"/>
        </w:rPr>
        <w:t>An Ideal Community &amp; National Development Model</w:t>
      </w:r>
    </w:p>
    <w:p>
      <w:pPr>
        <w:jc w:val="center"/>
      </w:pPr>
      <w:r>
        <w:rPr>
          <w:i/>
          <w:sz w:val="26"/>
        </w:rPr>
        <w:t>Working Concept Paper — Consolidated Draft</w:t>
      </w:r>
    </w:p>
    <w:p/>
    <w:p>
      <w:pPr>
        <w:pStyle w:val="Lead"/>
        <w:jc w:val="center"/>
      </w:pPr>
      <w:r>
        <w:t>A decentralized framework for local development, dignified work, mutual support, lifelong learning, cultural cohesion, flexible education, and world-class research.</w:t>
      </w:r>
    </w:p>
    <w:p/>
    <w:p>
      <w:pPr>
        <w:pStyle w:val="Callout"/>
        <w:jc w:val="center"/>
      </w:pPr>
      <w:r>
        <w:t>Core idea: make the local community capable enough to solve everyday problems locally, while connecting every community to regional and national networks of opportunity and knowledge.</w:t>
      </w:r>
    </w:p>
    <w:p/>
    <w:p>
      <w:pPr>
        <w:jc w:val="center"/>
      </w:pPr>
      <w:r>
        <w:rPr>
          <w:i/>
          <w:color w:val="646464"/>
          <w:sz w:val="18"/>
        </w:rPr>
        <w:t>Status: exploratory policy concept, not a finalized fiscal, legal, or administrative blueprint.</w:t>
      </w:r>
    </w:p>
    <w:p>
      <w:r>
        <w:br w:type="page"/>
      </w:r>
    </w:p>
    <w:p>
      <w:pPr>
        <w:pStyle w:val="Heading1"/>
      </w:pPr>
      <w:r>
        <w:t>1. Executive Summary</w:t>
      </w:r>
    </w:p>
    <w:p>
      <w:r>
        <w:t>The Ram Rajya Ideal Community Model developed in this discussion begins with a simple proposition: national development becomes more tangible when people can see, influence, and participate in improvement at the scale of their own neighborhood. The model therefore organizes public life around population-based micro-units linked to one another through digital, administrative, educational, cultural, and economic networks.</w:t>
      </w:r>
    </w:p>
    <w:p>
      <w:r>
        <w:t>Each micro-unit is envisioned as more than an administrative boundary. It is a development cell, employment market, support network, learning community, cultural space, and gateway to the wider nation. Local problems should be solved locally wherever practical; needs that cannot be met locally should move seamlessly to nearby, regional, and national networks.</w:t>
      </w:r>
    </w:p>
    <w:p>
      <w:r>
        <w:t>The model combines community contributions, government capacity, local employment, civic service, public learning, flexible education, cultural cohesion, advanced research, and the systematic study of India's civilizational knowledge. Its purpose is not to replace constitutional institutions or professional public services, but to make them more accessible and to add a strong layer of organized community participation.</w:t>
      </w:r>
    </w:p>
    <w:p>
      <w:pPr>
        <w:pStyle w:val="Heading2"/>
      </w:pPr>
      <w:r>
        <w:t>1.1 The pillars developed so far</w:t>
      </w:r>
    </w:p>
    <w:p>
      <w:pPr>
        <w:pStyle w:val="ListNumber"/>
      </w:pPr>
      <w:r>
        <w:t>Population-based micro-units for local planning and service delivery.</w:t>
      </w:r>
    </w:p>
    <w:p>
      <w:pPr>
        <w:pStyle w:val="ListNumber"/>
      </w:pPr>
      <w:r>
        <w:t>A locally visible development fund supported by household contributions, with safeguards for affordability and equity.</w:t>
      </w:r>
    </w:p>
    <w:p>
      <w:pPr>
        <w:pStyle w:val="ListNumber"/>
      </w:pPr>
      <w:r>
        <w:t>Government provision of skilled manpower, technical expertise, legal support, logistics, standards, and oversight.</w:t>
      </w:r>
    </w:p>
    <w:p>
      <w:pPr>
        <w:pStyle w:val="ListNumber"/>
      </w:pPr>
      <w:r>
        <w:t>A Community Support Centre in every unit, backed by a secure digital platform.</w:t>
      </w:r>
    </w:p>
    <w:p>
      <w:pPr>
        <w:pStyle w:val="ListNumber"/>
      </w:pPr>
      <w:r>
        <w:t>A local-first task and employment exchange connected to neighboring units and eventually the entire country.</w:t>
      </w:r>
    </w:p>
    <w:p>
      <w:pPr>
        <w:pStyle w:val="ListNumber"/>
      </w:pPr>
      <w:r>
        <w:t>Dignified paid community work and pathways out of extreme poverty and chronic unemployment.</w:t>
      </w:r>
    </w:p>
    <w:p>
      <w:pPr>
        <w:pStyle w:val="ListNumber"/>
      </w:pPr>
      <w:r>
        <w:t>Community care and early-support networks for loneliness, addiction, debt distress, illness, domestic problems, and other crises.</w:t>
      </w:r>
    </w:p>
    <w:p>
      <w:pPr>
        <w:pStyle w:val="ListNumber"/>
      </w:pPr>
      <w:r>
        <w:t>Regular cultural, sporting, social, and intergenerational community life.</w:t>
      </w:r>
    </w:p>
    <w:p>
      <w:pPr>
        <w:pStyle w:val="ListNumber"/>
      </w:pPr>
      <w:r>
        <w:t>Voluntary student civic service recognized through verified educational credits, certificates, and recommendations.</w:t>
      </w:r>
    </w:p>
    <w:p>
      <w:pPr>
        <w:pStyle w:val="ListNumber"/>
      </w:pPr>
      <w:r>
        <w:t>A Cultural Harmony and Social Cohesion framework centered on lawful safety, dialogue, cultural exchange, and language learning.</w:t>
      </w:r>
    </w:p>
    <w:p>
      <w:pPr>
        <w:pStyle w:val="ListNumber"/>
      </w:pPr>
      <w:r>
        <w:t>Public Information and Learning Parks/Centres offering lifelong education to the entire population.</w:t>
      </w:r>
    </w:p>
    <w:p>
      <w:pPr>
        <w:pStyle w:val="ListNumber"/>
      </w:pPr>
      <w:r>
        <w:t>Expansion and localization of digital learning ecosystems such as SWAYAM and NPTEL for mass access.</w:t>
      </w:r>
    </w:p>
    <w:p>
      <w:pPr>
        <w:pStyle w:val="ListNumber"/>
      </w:pPr>
      <w:r>
        <w:t>Replacement of rigid school streams with flexible, multidisciplinary learning pathways from childhood to early adulthood.</w:t>
      </w:r>
    </w:p>
    <w:p>
      <w:pPr>
        <w:pStyle w:val="ListNumber"/>
      </w:pPr>
      <w:r>
        <w:t>A national network of 20 frontier research universities in strategic science and technology.</w:t>
      </w:r>
    </w:p>
    <w:p>
      <w:pPr>
        <w:pStyle w:val="ListNumber"/>
      </w:pPr>
      <w:r>
        <w:t>A parallel network of 20 major universities for Sanatan Dharma and Indic knowledge traditions.</w:t>
      </w:r>
    </w:p>
    <w:p>
      <w:pPr>
        <w:pStyle w:val="Heading1"/>
      </w:pPr>
      <w:r>
        <w:t>2. Geographic and Population Architecture</w:t>
      </w:r>
    </w:p>
    <w:p>
      <w:pPr>
        <w:pStyle w:val="Heading2"/>
      </w:pPr>
      <w:r>
        <w:t>2.1 Micro-units as the basic planning cell</w:t>
      </w:r>
    </w:p>
    <w:p>
      <w:r>
        <w:t>The initial discussion proposed approximately 5,000-6,000 micro-units, with an illustrative target of about 100,000 residents per unit and roughly 20,000 families where an average household size of five is assumed. The central design principle is population-balanced planning rather than blindly following existing political or administrative boundaries.</w:t>
      </w:r>
    </w:p>
    <w:p>
      <w:r>
        <w:t>Large urban or rural constituencies could therefore be subdivided, while sparsely populated or geographically difficult areas could use modified thresholds. Boundaries should consider population, travel time, terrain, settlement patterns, existing municipal or panchayat structures, cultural continuity, and access to public services.</w:t>
      </w:r>
    </w:p>
    <w:p>
      <w:pPr>
        <w:pStyle w:val="Heading2"/>
      </w:pPr>
      <w:r>
        <w:t>2.2 Important numerical recalibration</w:t>
      </w:r>
    </w:p>
    <w:p>
      <w:r>
        <w:t>The two illustrative assumptions discussed — 5,000-6,000 units nationally and approximately 100,000 residents per unit — cannot both describe the whole population of India. Five to six thousand units of 100,000 residents cover roughly 500-600 million people. A final national design must therefore choose either a larger number of units or a higher average population per unit. This is a design parameter to be resolved through demographic modeling, not a flaw in the underlying local-unit concept.</w:t>
      </w:r>
    </w:p>
    <w:tbl>
      <w:tblPr>
        <w:tblStyle w:val="LightShading-Accent1"/>
        <w:tblW w:type="auto" w:w="0"/>
        <w:jc w:val="center"/>
        <w:tblLook w:firstColumn="1" w:firstRow="1" w:lastColumn="0" w:lastRow="0" w:noHBand="0" w:noVBand="1" w:val="04A0"/>
      </w:tblPr>
      <w:tblGrid>
        <w:gridCol w:w="4939"/>
        <w:gridCol w:w="4939"/>
      </w:tblGrid>
      <w:tr>
        <w:tc>
          <w:tcPr>
            <w:tcW w:type="dxa" w:w="4939"/>
            <w:vAlign w:val="center"/>
          </w:tcPr>
          <w:p>
            <w:r>
              <w:rPr>
                <w:b/>
              </w:rPr>
              <w:t>Illustrative design</w:t>
            </w:r>
          </w:p>
        </w:tc>
        <w:tc>
          <w:tcPr>
            <w:tcW w:type="dxa" w:w="4939"/>
            <w:vAlign w:val="center"/>
          </w:tcPr>
          <w:p>
            <w:r>
              <w:rPr>
                <w:b/>
              </w:rPr>
              <w:t>Approximate implication</w:t>
            </w:r>
          </w:p>
        </w:tc>
      </w:tr>
      <w:tr>
        <w:tc>
          <w:tcPr>
            <w:tcW w:type="dxa" w:w="4939"/>
            <w:vAlign w:val="center"/>
          </w:tcPr>
          <w:p>
            <w:r>
              <w:t>5,000 units × 100,000 people</w:t>
            </w:r>
          </w:p>
        </w:tc>
        <w:tc>
          <w:tcPr>
            <w:tcW w:type="dxa" w:w="4939"/>
            <w:vAlign w:val="center"/>
          </w:tcPr>
          <w:p>
            <w:r>
              <w:t>500 million people</w:t>
            </w:r>
          </w:p>
        </w:tc>
      </w:tr>
      <w:tr>
        <w:tc>
          <w:tcPr>
            <w:tcW w:type="dxa" w:w="4939"/>
            <w:vAlign w:val="center"/>
          </w:tcPr>
          <w:p>
            <w:r>
              <w:t>6,000 units × 100,000 people</w:t>
            </w:r>
          </w:p>
        </w:tc>
        <w:tc>
          <w:tcPr>
            <w:tcW w:type="dxa" w:w="4939"/>
            <w:vAlign w:val="center"/>
          </w:tcPr>
          <w:p>
            <w:r>
              <w:t>600 million people</w:t>
            </w:r>
          </w:p>
        </w:tc>
      </w:tr>
      <w:tr>
        <w:tc>
          <w:tcPr>
            <w:tcW w:type="dxa" w:w="4939"/>
            <w:vAlign w:val="center"/>
          </w:tcPr>
          <w:p>
            <w:r>
              <w:t>100,000-person target nationwide</w:t>
            </w:r>
          </w:p>
        </w:tc>
        <w:tc>
          <w:tcPr>
            <w:tcW w:type="dxa" w:w="4939"/>
            <w:vAlign w:val="center"/>
          </w:tcPr>
          <w:p>
            <w:r>
              <w:t>Would require substantially more than 6,000 units</w:t>
            </w:r>
          </w:p>
        </w:tc>
      </w:tr>
      <w:tr>
        <w:tc>
          <w:tcPr>
            <w:tcW w:type="dxa" w:w="4939"/>
            <w:vAlign w:val="center"/>
          </w:tcPr>
          <w:p>
            <w:r>
              <w:t>5,000-6,000 units nationwide</w:t>
            </w:r>
          </w:p>
        </w:tc>
        <w:tc>
          <w:tcPr>
            <w:tcW w:type="dxa" w:w="4939"/>
            <w:vAlign w:val="center"/>
          </w:tcPr>
          <w:p>
            <w:r>
              <w:t>Average unit population would need to be substantially above 100,000</w:t>
            </w:r>
          </w:p>
        </w:tc>
      </w:tr>
    </w:tbl>
    <w:p>
      <w:pPr>
        <w:pStyle w:val="Heading2"/>
      </w:pPr>
      <w:r>
        <w:t>2.3 A tiered network</w:t>
      </w:r>
    </w:p>
    <w:p>
      <w:pPr>
        <w:pStyle w:val="ListBullet"/>
      </w:pPr>
      <w:r>
        <w:t>Tier 1 — Micro-unit: everyday services, community work, support, local projects and local task matching.</w:t>
      </w:r>
    </w:p>
    <w:p>
      <w:pPr>
        <w:pStyle w:val="ListBullet"/>
      </w:pPr>
      <w:r>
        <w:t>Tier 2 — Cluster: several neighboring units sharing specialists, equipment, hospitals, training facilities, and larger projects.</w:t>
      </w:r>
    </w:p>
    <w:p>
      <w:pPr>
        <w:pStyle w:val="ListBullet"/>
      </w:pPr>
      <w:r>
        <w:t>Tier 3 — District/Regional network: specialized administration, advanced services, procurement, and escalation.</w:t>
      </w:r>
    </w:p>
    <w:p>
      <w:pPr>
        <w:pStyle w:val="ListBullet"/>
      </w:pPr>
      <w:r>
        <w:t>Tier 4 — State/National network: standards, interoperability, major funding, national learning, research, and talent exchange.</w:t>
      </w:r>
    </w:p>
    <w:p>
      <w:pPr>
        <w:pStyle w:val="Heading1"/>
      </w:pPr>
      <w:r>
        <w:t>3. Community Development Fund</w:t>
      </w:r>
    </w:p>
    <w:p>
      <w:pPr>
        <w:pStyle w:val="Heading2"/>
      </w:pPr>
      <w:r>
        <w:t>3.1 Illustrative household contribution</w:t>
      </w:r>
    </w:p>
    <w:p>
      <w:r>
        <w:t>The discussion used a simple working example: approximately 20,000 families in a unit, each contributing ₹500 per month. At full participation, this produces ₹1 crore per month, or ₹12 crore per year, for the unit.</w:t>
      </w:r>
    </w:p>
    <w:tbl>
      <w:tblPr>
        <w:tblStyle w:val="LightShading-Accent1"/>
        <w:tblW w:type="auto" w:w="0"/>
        <w:jc w:val="center"/>
        <w:tblLook w:firstColumn="1" w:firstRow="1" w:lastColumn="0" w:lastRow="0" w:noHBand="0" w:noVBand="1" w:val="04A0"/>
      </w:tblPr>
      <w:tblGrid>
        <w:gridCol w:w="4939"/>
        <w:gridCol w:w="4939"/>
      </w:tblGrid>
      <w:tr>
        <w:tc>
          <w:tcPr>
            <w:tcW w:type="dxa" w:w="4939"/>
            <w:vAlign w:val="center"/>
          </w:tcPr>
          <w:p>
            <w:r>
              <w:rPr>
                <w:b/>
              </w:rPr>
              <w:t>Item</w:t>
            </w:r>
          </w:p>
        </w:tc>
        <w:tc>
          <w:tcPr>
            <w:tcW w:type="dxa" w:w="4939"/>
            <w:vAlign w:val="center"/>
          </w:tcPr>
          <w:p>
            <w:r>
              <w:rPr>
                <w:b/>
              </w:rPr>
              <w:t>Illustrative amount</w:t>
            </w:r>
          </w:p>
        </w:tc>
      </w:tr>
      <w:tr>
        <w:tc>
          <w:tcPr>
            <w:tcW w:type="dxa" w:w="4939"/>
            <w:vAlign w:val="center"/>
          </w:tcPr>
          <w:p>
            <w:r>
              <w:t>Families</w:t>
            </w:r>
          </w:p>
        </w:tc>
        <w:tc>
          <w:tcPr>
            <w:tcW w:type="dxa" w:w="4939"/>
            <w:vAlign w:val="center"/>
          </w:tcPr>
          <w:p>
            <w:r>
              <w:t>20,000</w:t>
            </w:r>
          </w:p>
        </w:tc>
      </w:tr>
      <w:tr>
        <w:tc>
          <w:tcPr>
            <w:tcW w:type="dxa" w:w="4939"/>
            <w:vAlign w:val="center"/>
          </w:tcPr>
          <w:p>
            <w:r>
              <w:t>Monthly contribution per family</w:t>
            </w:r>
          </w:p>
        </w:tc>
        <w:tc>
          <w:tcPr>
            <w:tcW w:type="dxa" w:w="4939"/>
            <w:vAlign w:val="center"/>
          </w:tcPr>
          <w:p>
            <w:r>
              <w:t>₹500</w:t>
            </w:r>
          </w:p>
        </w:tc>
      </w:tr>
      <w:tr>
        <w:tc>
          <w:tcPr>
            <w:tcW w:type="dxa" w:w="4939"/>
            <w:vAlign w:val="center"/>
          </w:tcPr>
          <w:p>
            <w:r>
              <w:t>Monthly pool</w:t>
            </w:r>
          </w:p>
        </w:tc>
        <w:tc>
          <w:tcPr>
            <w:tcW w:type="dxa" w:w="4939"/>
            <w:vAlign w:val="center"/>
          </w:tcPr>
          <w:p>
            <w:r>
              <w:t>₹1,00,00,000 (₹1 crore)</w:t>
            </w:r>
          </w:p>
        </w:tc>
      </w:tr>
      <w:tr>
        <w:tc>
          <w:tcPr>
            <w:tcW w:type="dxa" w:w="4939"/>
            <w:vAlign w:val="center"/>
          </w:tcPr>
          <w:p>
            <w:r>
              <w:t>Annual pool</w:t>
            </w:r>
          </w:p>
        </w:tc>
        <w:tc>
          <w:tcPr>
            <w:tcW w:type="dxa" w:w="4939"/>
            <w:vAlign w:val="center"/>
          </w:tcPr>
          <w:p>
            <w:r>
              <w:t>₹12,00,00,000 (₹12 crore)</w:t>
            </w:r>
          </w:p>
        </w:tc>
      </w:tr>
    </w:tbl>
    <w:p>
      <w:pPr>
        <w:pStyle w:val="Heading2"/>
      </w:pPr>
      <w:r>
        <w:t>3.2 Equity must be built into the contribution model</w:t>
      </w:r>
    </w:p>
    <w:p>
      <w:r>
        <w:t>A flat ₹500 charge is useful for illustrating scale, but a final system should not impose the same burden on every household regardless of income. Possible models include exemptions for very poor households, sliding contributions, voluntary top-ups, business contributions, matching grants, and state or national equalization transfers for poorer units.</w:t>
      </w:r>
    </w:p>
    <w:p>
      <w:pPr>
        <w:pStyle w:val="Heading2"/>
      </w:pPr>
      <w:r>
        <w:t>3.3 What the local fund could finance</w:t>
      </w:r>
    </w:p>
    <w:p>
      <w:pPr>
        <w:pStyle w:val="ListBullet"/>
      </w:pPr>
      <w:r>
        <w:t>Road and footpath repairs, subject to engineering standards and jurisdiction.</w:t>
      </w:r>
    </w:p>
    <w:p>
      <w:pPr>
        <w:pStyle w:val="ListBullet"/>
      </w:pPr>
      <w:r>
        <w:t>Street and public-space lighting.</w:t>
      </w:r>
    </w:p>
    <w:p>
      <w:pPr>
        <w:pStyle w:val="ListBullet"/>
      </w:pPr>
      <w:r>
        <w:t>Parks, playgrounds, landscaping, trees, benches, and neighborhood beautification.</w:t>
      </w:r>
    </w:p>
    <w:p>
      <w:pPr>
        <w:pStyle w:val="ListBullet"/>
      </w:pPr>
      <w:r>
        <w:t>Drainage, sanitation, waste-management improvements, and minor civic infrastructure.</w:t>
      </w:r>
    </w:p>
    <w:p>
      <w:pPr>
        <w:pStyle w:val="ListBullet"/>
      </w:pPr>
      <w:r>
        <w:t>Materials for approved community projects where government supplies technical or skilled manpower.</w:t>
      </w:r>
    </w:p>
    <w:p>
      <w:pPr>
        <w:pStyle w:val="ListBullet"/>
      </w:pPr>
      <w:r>
        <w:t>Learning centers, community spaces, public digital infrastructure, and local accessibility improvements.</w:t>
      </w:r>
    </w:p>
    <w:p>
      <w:pPr>
        <w:pStyle w:val="ListBullet"/>
      </w:pPr>
      <w:r>
        <w:t>Small environmental projects such as lake, stream, and neighborhood restoration under competent supervision.</w:t>
      </w:r>
    </w:p>
    <w:p>
      <w:pPr>
        <w:pStyle w:val="Heading2"/>
      </w:pPr>
      <w:r>
        <w:t>3.4 Government contribution</w:t>
      </w:r>
    </w:p>
    <w:p>
      <w:r>
        <w:t>The community pool is not intended to make residents purchase the state twice. The proposed bargain is that local money makes small development fast and visible, while government supplies the capabilities communities cannot efficiently create themselves: engineers, planners, skilled workers, legal permissions, procurement frameworks, logistics, safety standards, specialist machinery, and regulatory oversight.</w:t>
      </w:r>
    </w:p>
    <w:p>
      <w:pPr>
        <w:pStyle w:val="Heading2"/>
      </w:pPr>
      <w:r>
        <w:t>3.5 Transparency architecture</w:t>
      </w:r>
    </w:p>
    <w:p>
      <w:pPr>
        <w:pStyle w:val="ListBullet"/>
      </w:pPr>
      <w:r>
        <w:t>A public dashboard showing receipts, approved projects, procurement, progress, and completed works.</w:t>
      </w:r>
    </w:p>
    <w:p>
      <w:pPr>
        <w:pStyle w:val="ListBullet"/>
      </w:pPr>
      <w:r>
        <w:t>Independent audits and random technical inspections.</w:t>
      </w:r>
    </w:p>
    <w:p>
      <w:pPr>
        <w:pStyle w:val="ListBullet"/>
      </w:pPr>
      <w:r>
        <w:t>Conflict-of-interest declarations for local decision makers.</w:t>
      </w:r>
    </w:p>
    <w:p>
      <w:pPr>
        <w:pStyle w:val="ListBullet"/>
      </w:pPr>
      <w:r>
        <w:t>Open project proposals and resident feedback periods.</w:t>
      </w:r>
    </w:p>
    <w:p>
      <w:pPr>
        <w:pStyle w:val="ListBullet"/>
      </w:pPr>
      <w:r>
        <w:t>No cash handling for major transactions; traceable digital payments and standardized procurement.</w:t>
      </w:r>
    </w:p>
    <w:p>
      <w:pPr>
        <w:pStyle w:val="ListBullet"/>
      </w:pPr>
      <w:r>
        <w:t>Clear separation between community consultation and statutory approvals.</w:t>
      </w:r>
    </w:p>
    <w:p>
      <w:pPr>
        <w:pStyle w:val="Heading1"/>
      </w:pPr>
      <w:r>
        <w:t>4. Community Support Centre and Digital Platform</w:t>
      </w:r>
    </w:p>
    <w:p>
      <w:r>
        <w:t>Every micro-unit would have a physical Community Support Centre connected to a secure digital system. It would be the practical front door of the model: a place residents can call, visit, or contact digitally for local assistance, work opportunities, learning, referrals, and civic information.</w:t>
      </w:r>
    </w:p>
    <w:p>
      <w:pPr>
        <w:pStyle w:val="Heading2"/>
      </w:pPr>
      <w:r>
        <w:t>4.1 Resident and household records</w:t>
      </w:r>
    </w:p>
    <w:p>
      <w:r>
        <w:t>The original concept envisioned a database of each family and member. For implementation, this should be redesigned around data minimization and consent: the center should store only information necessary for a defined service, use role-based access, maintain audit logs, and avoid turning social support into continuous surveillance. Sensitive medical, financial, family, or vulnerability data should receive stronger protections and normally remain with the competent service provider.</w:t>
      </w:r>
    </w:p>
    <w:p>
      <w:pPr>
        <w:pStyle w:val="Heading2"/>
      </w:pPr>
      <w:r>
        <w:t>4.2 Multiple access channels</w:t>
      </w:r>
    </w:p>
    <w:p>
      <w:pPr>
        <w:pStyle w:val="ListBullet"/>
      </w:pPr>
      <w:r>
        <w:t>Walk-in desk for residents uncomfortable with apps.</w:t>
      </w:r>
    </w:p>
    <w:p>
      <w:pPr>
        <w:pStyle w:val="ListBullet"/>
      </w:pPr>
      <w:r>
        <w:t>Telephone and assisted-service line.</w:t>
      </w:r>
    </w:p>
    <w:p>
      <w:pPr>
        <w:pStyle w:val="ListBullet"/>
      </w:pPr>
      <w:r>
        <w:t>Mobile/web platform for requests and volunteering.</w:t>
      </w:r>
    </w:p>
    <w:p>
      <w:pPr>
        <w:pStyle w:val="ListBullet"/>
      </w:pPr>
      <w:r>
        <w:t>Accessibility options for elderly residents and persons with disabilities.</w:t>
      </w:r>
    </w:p>
    <w:p>
      <w:pPr>
        <w:pStyle w:val="ListBullet"/>
      </w:pPr>
      <w:r>
        <w:t>Multilingual interfaces and local-language support.</w:t>
      </w:r>
    </w:p>
    <w:p>
      <w:pPr>
        <w:pStyle w:val="Heading1"/>
      </w:pPr>
      <w:r>
        <w:t>5. Local Task, Work and Time Exchange</w:t>
      </w:r>
    </w:p>
    <w:p>
      <w:pPr>
        <w:pStyle w:val="Heading2"/>
      </w:pPr>
      <w:r>
        <w:t>5.1 Local-first matching</w:t>
      </w:r>
    </w:p>
    <w:p>
      <w:r>
        <w:t>Residents, families, shopkeepers, and small businesses could post legitimate everyday tasks. Local residents seeking work could accept or bid for them. The default principle is local first: the system searches within the micro-unit, then neighboring units, then the wider regional or national network when specialist skills are unavailable.</w:t>
      </w:r>
    </w:p>
    <w:p>
      <w:pPr>
        <w:pStyle w:val="Heading2"/>
      </w:pPr>
      <w:r>
        <w:t>5.2 Example</w:t>
      </w:r>
    </w:p>
    <w:p>
      <w:r>
        <w:t>An elderly resident who needs a month's groceries could request assistance by phone or through the center. A verified local worker could undertake the errand for an agreed payment. The earlier discussion also contemplated food or in-kind exchange; for formal implementation, monetary compensation and minimum standards are preferable wherever the arrangement constitutes work, while genuinely neighborly volunteering can remain unpaid.</w:t>
      </w:r>
    </w:p>
    <w:p>
      <w:pPr>
        <w:pStyle w:val="Heading2"/>
      </w:pPr>
      <w:r>
        <w:t>5.3 Benefits</w:t>
      </w:r>
    </w:p>
    <w:p>
      <w:pPr>
        <w:pStyle w:val="ListBullet"/>
      </w:pPr>
      <w:r>
        <w:t>Creates low-barrier entry points into work.</w:t>
      </w:r>
    </w:p>
    <w:p>
      <w:pPr>
        <w:pStyle w:val="ListBullet"/>
      </w:pPr>
      <w:r>
        <w:t>Reduces the time burden on working households and shopkeepers.</w:t>
      </w:r>
    </w:p>
    <w:p>
      <w:pPr>
        <w:pStyle w:val="ListBullet"/>
      </w:pPr>
      <w:r>
        <w:t>Keeps a larger share of small-service spending within the local economy.</w:t>
      </w:r>
    </w:p>
    <w:p>
      <w:pPr>
        <w:pStyle w:val="ListBullet"/>
      </w:pPr>
      <w:r>
        <w:t>Makes help easier to obtain for elderly or mobility-limited residents.</w:t>
      </w:r>
    </w:p>
    <w:p>
      <w:pPr>
        <w:pStyle w:val="ListBullet"/>
      </w:pPr>
      <w:r>
        <w:t>Allows specialized tasks — web design, computer repair, tutoring, translation, accounting — to flow across unit boundaries.</w:t>
      </w:r>
    </w:p>
    <w:p>
      <w:pPr>
        <w:pStyle w:val="Heading2"/>
      </w:pPr>
      <w:r>
        <w:t>5.4 Trust and safety</w:t>
      </w:r>
    </w:p>
    <w:p>
      <w:pPr>
        <w:pStyle w:val="ListBullet"/>
      </w:pPr>
      <w:r>
        <w:t>Identity and skill verification proportionate to the task.</w:t>
      </w:r>
    </w:p>
    <w:p>
      <w:pPr>
        <w:pStyle w:val="ListBullet"/>
      </w:pPr>
      <w:r>
        <w:t>Clear pricing or wage terms before acceptance.</w:t>
      </w:r>
    </w:p>
    <w:p>
      <w:pPr>
        <w:pStyle w:val="ListBullet"/>
      </w:pPr>
      <w:r>
        <w:t>Ratings or service history designed to prevent permanent exclusion from a single complaint.</w:t>
      </w:r>
    </w:p>
    <w:p>
      <w:pPr>
        <w:pStyle w:val="ListBullet"/>
      </w:pPr>
      <w:r>
        <w:t>Background checks where lawfully appropriate for sensitive roles.</w:t>
      </w:r>
    </w:p>
    <w:p>
      <w:pPr>
        <w:pStyle w:val="ListBullet"/>
      </w:pPr>
      <w:r>
        <w:t>Insurance and grievance mechanisms for higher-risk work.</w:t>
      </w:r>
    </w:p>
    <w:p>
      <w:pPr>
        <w:pStyle w:val="ListBullet"/>
      </w:pPr>
      <w:r>
        <w:t>Strong prohibitions on child labor, coercion, discriminatory task allocation, and hazardous informal work.</w:t>
      </w:r>
    </w:p>
    <w:p>
      <w:pPr>
        <w:pStyle w:val="Heading1"/>
      </w:pPr>
      <w:r>
        <w:t>6. Dignified Community Employment and Poverty Reduction</w:t>
      </w:r>
    </w:p>
    <w:p>
      <w:r>
        <w:t>A central objective is to move from passive, indefinite dependency toward dignified participation wherever a person is able and willing to work. Residents experiencing severe poverty or unemployment could be offered regular paid community roles, with the discussion using illustrative wages of approximately ₹10,000-₹15,000 per month. Actual wages would have to comply with applicable wage rules, job type, hours, local costs, and employment law.</w:t>
      </w:r>
    </w:p>
    <w:p>
      <w:pPr>
        <w:pStyle w:val="Heading2"/>
      </w:pPr>
      <w:r>
        <w:t>6.1 Potential roles</w:t>
      </w:r>
    </w:p>
    <w:p>
      <w:pPr>
        <w:pStyle w:val="ListBullet"/>
      </w:pPr>
      <w:r>
        <w:t>Neighborhood cleanliness and maintenance.</w:t>
      </w:r>
    </w:p>
    <w:p>
      <w:pPr>
        <w:pStyle w:val="ListBullet"/>
      </w:pPr>
      <w:r>
        <w:t>Park, public-space, and non-hazardous environmental upkeep.</w:t>
      </w:r>
    </w:p>
    <w:p>
      <w:pPr>
        <w:pStyle w:val="ListBullet"/>
      </w:pPr>
      <w:r>
        <w:t>Assistance to elderly or mobility-limited residents.</w:t>
      </w:r>
    </w:p>
    <w:p>
      <w:pPr>
        <w:pStyle w:val="ListBullet"/>
      </w:pPr>
      <w:r>
        <w:t>Community-center operations and event setup.</w:t>
      </w:r>
    </w:p>
    <w:p>
      <w:pPr>
        <w:pStyle w:val="ListBullet"/>
      </w:pPr>
      <w:r>
        <w:t>Local information and wayfinding assistance.</w:t>
      </w:r>
    </w:p>
    <w:p>
      <w:pPr>
        <w:pStyle w:val="ListBullet"/>
      </w:pPr>
      <w:r>
        <w:t>Support for waste segregation and recycling programs.</w:t>
      </w:r>
    </w:p>
    <w:p>
      <w:pPr>
        <w:pStyle w:val="ListBullet"/>
      </w:pPr>
      <w:r>
        <w:t>Low-risk neighborhood observation and reporting, without police powers.</w:t>
      </w:r>
    </w:p>
    <w:p>
      <w:pPr>
        <w:pStyle w:val="ListBullet"/>
      </w:pPr>
      <w:r>
        <w:t>Pedestrian assistance or internal-lane traffic awareness after training, while regulated traffic enforcement remains with competent authorities.</w:t>
      </w:r>
    </w:p>
    <w:p>
      <w:pPr>
        <w:pStyle w:val="Heading2"/>
      </w:pPr>
      <w:r>
        <w:t>6.2 Pathway rather than a permanent low-wage tier</w:t>
      </w:r>
    </w:p>
    <w:p>
      <w:r>
        <w:t>Community employment should ideally be a ladder. Workers could receive literacy support, digital training, driving skills, trade certification, language instruction, financial literacy, and apprenticeships so that a cleaning or support role can lead to better-paid work. The system should measure progression, not merely the number of people kept in temporary jobs.</w:t>
      </w:r>
    </w:p>
    <w:p>
      <w:pPr>
        <w:pStyle w:val="Heading2"/>
      </w:pPr>
      <w:r>
        <w:t>6.3 Homelessness and immediate need</w:t>
      </w:r>
    </w:p>
    <w:p>
      <w:r>
        <w:t>Each unit should have a responsibility to ensure that people in acute distress can reach food, temporary shelter, sanitation, documentation assistance, and a route into work or specialist care. Religious and charitable institutions — including temples, gurdwaras, mosques, churches, trusts, and civil-society organizations — may voluntarily participate, but essential protection should not depend on religious affiliation or charity alone.</w:t>
      </w:r>
    </w:p>
    <w:p>
      <w:pPr>
        <w:pStyle w:val="Heading1"/>
      </w:pPr>
      <w:r>
        <w:t>7. Community Care, Early Support and Human Connection</w:t>
      </w:r>
    </w:p>
    <w:p>
      <w:r>
        <w:t>The discussion identified a recurring problem: individuals and families often face loneliness, addiction, debt distress, illness, domestic conflict, or other crises in isolation. The micro-unit can function as an extended support network — but support must not become intrusive social monitoring.</w:t>
      </w:r>
    </w:p>
    <w:p>
      <w:pPr>
        <w:pStyle w:val="Heading2"/>
      </w:pPr>
      <w:r>
        <w:t>7.1 Early-support model</w:t>
      </w:r>
    </w:p>
    <w:p>
      <w:pPr>
        <w:pStyle w:val="ListBullet"/>
      </w:pPr>
      <w:r>
        <w:t>Trained volunteers and community workers able to recognize distress and guide residents toward professional help.</w:t>
      </w:r>
    </w:p>
    <w:p>
      <w:pPr>
        <w:pStyle w:val="ListBullet"/>
      </w:pPr>
      <w:r>
        <w:t>Regular outreach to elderly residents who opt in to check-ins.</w:t>
      </w:r>
    </w:p>
    <w:p>
      <w:pPr>
        <w:pStyle w:val="ListBullet"/>
      </w:pPr>
      <w:r>
        <w:t>Peer-support groups for caregivers, recovery, bereavement, financial stress, and loneliness.</w:t>
      </w:r>
    </w:p>
    <w:p>
      <w:pPr>
        <w:pStyle w:val="ListBullet"/>
      </w:pPr>
      <w:r>
        <w:t>Referral pathways to qualified counselors, doctors, legal-aid providers, shelters, and financial advisers.</w:t>
      </w:r>
    </w:p>
    <w:p>
      <w:pPr>
        <w:pStyle w:val="ListBullet"/>
      </w:pPr>
      <w:r>
        <w:t>Emergency escalation protocols for credible threats of violence or immediate danger.</w:t>
      </w:r>
    </w:p>
    <w:p>
      <w:pPr>
        <w:pStyle w:val="Heading2"/>
      </w:pPr>
      <w:r>
        <w:t>7.2 Domestic violence and sensitive family cases</w:t>
      </w:r>
    </w:p>
    <w:p>
      <w:r>
        <w:t>Community elders may provide consensual mediation for ordinary disagreements, but domestic violence, abuse, coercion, and serious threats require survivor-centered professional and legal pathways. No community body should pressure a victim to reconcile, disclose private information publicly, or substitute informal authority for law enforcement and specialist services.</w:t>
      </w:r>
    </w:p>
    <w:p>
      <w:pPr>
        <w:pStyle w:val="Heading1"/>
      </w:pPr>
      <w:r>
        <w:t>8. Community Life, Culture, Sports and Well-being</w:t>
      </w:r>
    </w:p>
    <w:p>
      <w:r>
        <w:t>A successful unit should not exist only to repair roads and process complaints. It should create reasons for people to know one another and enjoy their locality. Regular sports, festivals, cultural performances, children's activities, senior gatherings, reading circles, arts workshops, exhibitions, and intergenerational programs can make the unit socially alive.</w:t>
      </w:r>
    </w:p>
    <w:p>
      <w:pPr>
        <w:pStyle w:val="ListBullet"/>
      </w:pPr>
      <w:r>
        <w:t>Weekly or monthly sports leagues and open fitness activities.</w:t>
      </w:r>
    </w:p>
    <w:p>
      <w:pPr>
        <w:pStyle w:val="ListBullet"/>
      </w:pPr>
      <w:r>
        <w:t>Music, theater, dance, literature, crafts, and local-history programs.</w:t>
      </w:r>
    </w:p>
    <w:p>
      <w:pPr>
        <w:pStyle w:val="ListBullet"/>
      </w:pPr>
      <w:r>
        <w:t>Shared celebrations and cultural exchange events.</w:t>
      </w:r>
    </w:p>
    <w:p>
      <w:pPr>
        <w:pStyle w:val="ListBullet"/>
      </w:pPr>
      <w:r>
        <w:t>Youth clubs, senior clubs, and family events.</w:t>
      </w:r>
    </w:p>
    <w:p>
      <w:pPr>
        <w:pStyle w:val="ListBullet"/>
      </w:pPr>
      <w:r>
        <w:t>Community gardening and environmental days.</w:t>
      </w:r>
    </w:p>
    <w:p>
      <w:pPr>
        <w:pStyle w:val="ListBullet"/>
      </w:pPr>
      <w:r>
        <w:t>Talent showcases and local entrepreneurship fairs.</w:t>
      </w:r>
    </w:p>
    <w:p>
      <w:pPr>
        <w:pStyle w:val="Heading1"/>
      </w:pPr>
      <w:r>
        <w:t>9. Student Community Service and Civic Participation</w:t>
      </w:r>
    </w:p>
    <w:p>
      <w:r>
        <w:t>Students should be invited to participate voluntarily in community service as part of their education. Verified contributions could be recognized through academic credits where appropriate, service certificates, commendations, portfolios, or documented recommendations on school and university leaving records.</w:t>
      </w:r>
    </w:p>
    <w:p>
      <w:pPr>
        <w:pStyle w:val="Heading2"/>
      </w:pPr>
      <w:r>
        <w:t>9.1 Suitable activities</w:t>
      </w:r>
    </w:p>
    <w:p>
      <w:pPr>
        <w:pStyle w:val="ListBullet"/>
      </w:pPr>
      <w:r>
        <w:t>Helping elderly residents with digital services, reading, errands, and companionship.</w:t>
      </w:r>
    </w:p>
    <w:p>
      <w:pPr>
        <w:pStyle w:val="ListBullet"/>
      </w:pPr>
      <w:r>
        <w:t>Tutoring children and teaching adult literacy, languages, basic computing, or other skills.</w:t>
      </w:r>
    </w:p>
    <w:p>
      <w:pPr>
        <w:pStyle w:val="ListBullet"/>
      </w:pPr>
      <w:r>
        <w:t>Supervised river, lake, park, and road-cleanliness drives where conditions are safe.</w:t>
      </w:r>
    </w:p>
    <w:p>
      <w:pPr>
        <w:pStyle w:val="ListBullet"/>
      </w:pPr>
      <w:r>
        <w:t>Tree planting, water conservation, recycling, and environmental awareness.</w:t>
      </w:r>
    </w:p>
    <w:p>
      <w:pPr>
        <w:pStyle w:val="ListBullet"/>
      </w:pPr>
      <w:r>
        <w:t>Assisting with cultural programs, sports, libraries, and learning centers.</w:t>
      </w:r>
    </w:p>
    <w:p>
      <w:pPr>
        <w:pStyle w:val="ListBullet"/>
      </w:pPr>
      <w:r>
        <w:t>First-aid and disaster-preparedness training.</w:t>
      </w:r>
    </w:p>
    <w:p>
      <w:pPr>
        <w:pStyle w:val="ListBullet"/>
      </w:pPr>
      <w:r>
        <w:t>Pedestrian-safety and internal-neighborhood traffic-awareness activities under trained adult or official supervision.</w:t>
      </w:r>
    </w:p>
    <w:p>
      <w:pPr>
        <w:pStyle w:val="Heading2"/>
      </w:pPr>
      <w:r>
        <w:t>9.2 Safeguards</w:t>
      </w:r>
    </w:p>
    <w:p>
      <w:r>
        <w:t>Students must not be used as substitutes for police, sanitation workers in hazardous environments, emergency responders, or other trained professionals. Programs should be age-appropriate, supervised, insured where necessary, and designed around learning and service rather than extracting free labor.</w:t>
      </w:r>
    </w:p>
    <w:p>
      <w:pPr>
        <w:pStyle w:val="Heading2"/>
      </w:pPr>
      <w:r>
        <w:t>9.3 Educational value</w:t>
      </w:r>
    </w:p>
    <w:p>
      <w:r>
        <w:t>The aim is to make civic responsibility experiential. A student should be able to leave education not only with marks and certificates, but with a verifiable record of having taught, restored, organized, assisted, or built something useful for other people.</w:t>
      </w:r>
    </w:p>
    <w:p>
      <w:pPr>
        <w:pStyle w:val="Heading1"/>
      </w:pPr>
      <w:r>
        <w:t>10. Cultural Harmony and Social Cohesion</w:t>
      </w:r>
    </w:p>
    <w:p>
      <w:r>
        <w:t>The proposal includes a Cultural Harmony and Social Cohesion institution at appropriate levels of government, paired with strong local programming. Its constructive mission would be to deepen interaction among India's linguistic, regional, religious, tribal, and cultural communities.</w:t>
      </w:r>
    </w:p>
    <w:p>
      <w:pPr>
        <w:pStyle w:val="Heading2"/>
      </w:pPr>
      <w:r>
        <w:t>10.1 Cultural programming</w:t>
      </w:r>
    </w:p>
    <w:p>
      <w:pPr>
        <w:pStyle w:val="ListBullet"/>
      </w:pPr>
      <w:r>
        <w:t>Cultural orientation for people moving between regions.</w:t>
      </w:r>
    </w:p>
    <w:p>
      <w:pPr>
        <w:pStyle w:val="ListBullet"/>
      </w:pPr>
      <w:r>
        <w:t>Inter-community festivals, literature, music, food, art, and heritage programs.</w:t>
      </w:r>
    </w:p>
    <w:p>
      <w:pPr>
        <w:pStyle w:val="ListBullet"/>
      </w:pPr>
      <w:r>
        <w:t>Local-history and national-civilization learning.</w:t>
      </w:r>
    </w:p>
    <w:p>
      <w:pPr>
        <w:pStyle w:val="ListBullet"/>
      </w:pPr>
      <w:r>
        <w:t>Youth and student exchanges between states and regions.</w:t>
      </w:r>
    </w:p>
    <w:p>
      <w:pPr>
        <w:pStyle w:val="ListBullet"/>
      </w:pPr>
      <w:r>
        <w:t>Dialogue programs that bring residents together before tensions become crises.</w:t>
      </w:r>
    </w:p>
    <w:p>
      <w:pPr>
        <w:pStyle w:val="Heading2"/>
      </w:pPr>
      <w:r>
        <w:t>10.2 Language as a bridge</w:t>
      </w:r>
    </w:p>
    <w:p>
      <w:r>
        <w:t>Community centers could offer accessible classes in the locally spoken language while also enabling residents to teach their own languages. The objective is integration without forced linguistic uniformity: learning the language of one's neighbors should expand belonging, not erase the mother tongue.</w:t>
      </w:r>
    </w:p>
    <w:p>
      <w:pPr>
        <w:pStyle w:val="Heading2"/>
      </w:pPr>
      <w:r>
        <w:t>10.3 Hate-related conduct, safety, and civil liberties</w:t>
      </w:r>
    </w:p>
    <w:p>
      <w:r>
        <w:t>The original idea included monitoring and censuring hateful activity. A safer institutional design is to focus on credible threats, incitement to violence, targeted harassment, communal intimidation, vandalism, and other unlawful conduct, with suspected offences referred to competent authorities under due process. A cultural body should not possess open-ended power to punish lawful criticism, belief, political disagreement, scholarship, satire, or peaceful expression. Transparent definitions, independent review, appeal mechanisms, and judicial oversight are essential protections against partisan or sectarian misuse.</w:t>
      </w:r>
    </w:p>
    <w:p>
      <w:pPr>
        <w:pStyle w:val="Heading1"/>
      </w:pPr>
      <w:r>
        <w:t>11. Information and Learning Parks</w:t>
      </w:r>
    </w:p>
    <w:p>
      <w:r>
        <w:t>Knowledge should be treated as public infrastructure. Every micro-unit should gradually develop Information and Learning Parks or Centres where anyone can learn regardless of age, income, qualifications, or prior schooling.</w:t>
      </w:r>
    </w:p>
    <w:p>
      <w:pPr>
        <w:pStyle w:val="Heading2"/>
      </w:pPr>
      <w:r>
        <w:t>11.1 Physical design</w:t>
      </w:r>
    </w:p>
    <w:p>
      <w:pPr>
        <w:pStyle w:val="ListBullet"/>
      </w:pPr>
      <w:r>
        <w:t>Large open or semi-open widescreen displays for scheduled educational programming.</w:t>
      </w:r>
    </w:p>
    <w:p>
      <w:pPr>
        <w:pStyle w:val="ListBullet"/>
      </w:pPr>
      <w:r>
        <w:t>Classrooms and tutorial rooms.</w:t>
      </w:r>
    </w:p>
    <w:p>
      <w:pPr>
        <w:pStyle w:val="ListBullet"/>
      </w:pPr>
      <w:r>
        <w:t>Internet-connected computers and digital kiosks.</w:t>
      </w:r>
    </w:p>
    <w:p>
      <w:pPr>
        <w:pStyle w:val="ListBullet"/>
      </w:pPr>
      <w:r>
        <w:t>Reading areas, small libraries, and access to reference material.</w:t>
      </w:r>
    </w:p>
    <w:p>
      <w:pPr>
        <w:pStyle w:val="ListBullet"/>
      </w:pPr>
      <w:r>
        <w:t>Workshop or maker spaces where feasible.</w:t>
      </w:r>
    </w:p>
    <w:p>
      <w:pPr>
        <w:pStyle w:val="ListBullet"/>
      </w:pPr>
      <w:r>
        <w:t>Accessible seating and facilities for elderly and disabled learners.</w:t>
      </w:r>
    </w:p>
    <w:p>
      <w:pPr>
        <w:pStyle w:val="ListBullet"/>
      </w:pPr>
      <w:r>
        <w:t>Extended hours so working adults can attend.</w:t>
      </w:r>
    </w:p>
    <w:p>
      <w:pPr>
        <w:pStyle w:val="Heading2"/>
      </w:pPr>
      <w:r>
        <w:t>11.2 Mass curriculum</w:t>
      </w:r>
    </w:p>
    <w:p>
      <w:r>
        <w:t>National platforms such as SWAYAM and NPTEL could be expanded in reach and localization, with more courses translated, subtitled, dubbed, or newly produced in Indian languages. Learning centers would turn online courses into community experiences by adding mentors, discussion groups, practical sessions, and assisted digital access.</w:t>
      </w:r>
    </w:p>
    <w:p>
      <w:pPr>
        <w:pStyle w:val="ListBullet"/>
      </w:pPr>
      <w:r>
        <w:t>Literacy and numeracy.</w:t>
      </w:r>
    </w:p>
    <w:p>
      <w:pPr>
        <w:pStyle w:val="ListBullet"/>
      </w:pPr>
      <w:r>
        <w:t>Science, mathematics, history, and geography.</w:t>
      </w:r>
    </w:p>
    <w:p>
      <w:pPr>
        <w:pStyle w:val="ListBullet"/>
      </w:pPr>
      <w:r>
        <w:t>Indian and foreign languages.</w:t>
      </w:r>
    </w:p>
    <w:p>
      <w:pPr>
        <w:pStyle w:val="ListBullet"/>
      </w:pPr>
      <w:r>
        <w:t>Agriculture and rural enterprise.</w:t>
      </w:r>
    </w:p>
    <w:p>
      <w:pPr>
        <w:pStyle w:val="ListBullet"/>
      </w:pPr>
      <w:r>
        <w:t>Financial and legal literacy.</w:t>
      </w:r>
    </w:p>
    <w:p>
      <w:pPr>
        <w:pStyle w:val="ListBullet"/>
      </w:pPr>
      <w:r>
        <w:t>Computers, coding, AI, cybersecurity awareness, and digital productivity.</w:t>
      </w:r>
    </w:p>
    <w:p>
      <w:pPr>
        <w:pStyle w:val="ListBullet"/>
      </w:pPr>
      <w:r>
        <w:t>Vocational and trade skills.</w:t>
      </w:r>
    </w:p>
    <w:p>
      <w:pPr>
        <w:pStyle w:val="ListBullet"/>
      </w:pPr>
      <w:r>
        <w:t>Entrepreneurship, accounting, sales, and digital marketing.</w:t>
      </w:r>
    </w:p>
    <w:p>
      <w:pPr>
        <w:pStyle w:val="ListBullet"/>
      </w:pPr>
      <w:r>
        <w:t>Health awareness, nutrition, first aid, and preventive well-being education.</w:t>
      </w:r>
    </w:p>
    <w:p>
      <w:pPr>
        <w:pStyle w:val="ListBullet"/>
      </w:pPr>
      <w:r>
        <w:t>Arts, literature, music, philosophy, and traditional knowledge.</w:t>
      </w:r>
    </w:p>
    <w:p>
      <w:pPr>
        <w:pStyle w:val="Heading2"/>
      </w:pPr>
      <w:r>
        <w:t>11.3 Lifelong learning</w:t>
      </w:r>
    </w:p>
    <w:p>
      <w:r>
        <w:t>The same center might host a schoolchild studying mathematics in the afternoon, an unemployed adult acquiring a trade skill, a shopkeeper learning digital marketing in the evening, and a senior citizen learning smartphone use or a new language. Learning becomes continuous rather than something that ends with a degree.</w:t>
      </w:r>
    </w:p>
    <w:p>
      <w:pPr>
        <w:pStyle w:val="Heading1"/>
      </w:pPr>
      <w:r>
        <w:t>12. Education Policy: From Streams to Individual Learning Pathways</w:t>
      </w:r>
    </w:p>
    <w:p>
      <w:r>
        <w:t>The proposed school and university system would move away from rigid Arts-Commerce-Science segmentation and toward a very large modular subject catalogue. From approximately age 5 to 20, students would move from broad foundations toward increasingly personalized combinations based on aptitude, curiosity, demonstrated competence, and future goals.</w:t>
      </w:r>
    </w:p>
    <w:p>
      <w:pPr>
        <w:pStyle w:val="Heading2"/>
      </w:pPr>
      <w:r>
        <w:t>12.1 Foundational years</w:t>
      </w:r>
    </w:p>
    <w:p>
      <w:pPr>
        <w:pStyle w:val="ListBullet"/>
      </w:pPr>
      <w:r>
        <w:t>Languages and communication.</w:t>
      </w:r>
    </w:p>
    <w:p>
      <w:pPr>
        <w:pStyle w:val="ListBullet"/>
      </w:pPr>
      <w:r>
        <w:t>Mathematics and scientific reasoning.</w:t>
      </w:r>
    </w:p>
    <w:p>
      <w:pPr>
        <w:pStyle w:val="ListBullet"/>
      </w:pPr>
      <w:r>
        <w:t>History, geography, civics, and social understanding.</w:t>
      </w:r>
    </w:p>
    <w:p>
      <w:pPr>
        <w:pStyle w:val="ListBullet"/>
      </w:pPr>
      <w:r>
        <w:t>Arts, music, physical education, and creativity.</w:t>
      </w:r>
    </w:p>
    <w:p>
      <w:pPr>
        <w:pStyle w:val="ListBullet"/>
      </w:pPr>
      <w:r>
        <w:t>Digital literacy and safe technology use.</w:t>
      </w:r>
    </w:p>
    <w:p>
      <w:pPr>
        <w:pStyle w:val="ListBullet"/>
      </w:pPr>
      <w:r>
        <w:t>Ethics, environmental responsibility, teamwork, and practical life skills.</w:t>
      </w:r>
    </w:p>
    <w:p>
      <w:pPr>
        <w:pStyle w:val="Heading2"/>
      </w:pPr>
      <w:r>
        <w:t>12.2 Expanding choice</w:t>
      </w:r>
    </w:p>
    <w:p>
      <w:r>
        <w:t>As students mature, the menu should become dramatically broader. A learner might combine physics, economics, Sanskrit, programming, filmmaking, and psychology; another might combine biology, statistics, agriculture, entrepreneurship, and music. Prerequisites would still apply where later subjects depend on earlier mastery.</w:t>
      </w:r>
    </w:p>
    <w:p>
      <w:pPr>
        <w:pStyle w:val="Heading2"/>
      </w:pPr>
      <w:r>
        <w:t>12.3 National teaching network</w:t>
      </w:r>
    </w:p>
    <w:p>
      <w:r>
        <w:t>No individual school can employ experts in hundreds of subjects. The model therefore combines local teachers and mentors with nationally networked teaching. High-quality live and recorded instruction could be shared across schools, while laboratories, tutorials, assessment, and pastoral support remain local.</w:t>
      </w:r>
    </w:p>
    <w:p>
      <w:pPr>
        <w:pStyle w:val="Heading2"/>
      </w:pPr>
      <w:r>
        <w:t>12.4 Emerging fields</w:t>
      </w:r>
    </w:p>
    <w:p>
      <w:pPr>
        <w:pStyle w:val="ListBullet"/>
      </w:pPr>
      <w:r>
        <w:t>Artificial intelligence, robotics, and data science.</w:t>
      </w:r>
    </w:p>
    <w:p>
      <w:pPr>
        <w:pStyle w:val="ListBullet"/>
      </w:pPr>
      <w:r>
        <w:t>Cybersecurity and digital systems.</w:t>
      </w:r>
    </w:p>
    <w:p>
      <w:pPr>
        <w:pStyle w:val="ListBullet"/>
      </w:pPr>
      <w:r>
        <w:t>Biotechnology and computational biology.</w:t>
      </w:r>
    </w:p>
    <w:p>
      <w:pPr>
        <w:pStyle w:val="ListBullet"/>
      </w:pPr>
      <w:r>
        <w:t>Renewable energy and climate technology.</w:t>
      </w:r>
    </w:p>
    <w:p>
      <w:pPr>
        <w:pStyle w:val="ListBullet"/>
      </w:pPr>
      <w:r>
        <w:t>Space science and aerospace.</w:t>
      </w:r>
    </w:p>
    <w:p>
      <w:pPr>
        <w:pStyle w:val="ListBullet"/>
      </w:pPr>
      <w:r>
        <w:t>Advanced manufacturing, electronics, and materials.</w:t>
      </w:r>
    </w:p>
    <w:p>
      <w:pPr>
        <w:pStyle w:val="ListBullet"/>
      </w:pPr>
      <w:r>
        <w:t>Digital media, animation, game design, and filmmaking.</w:t>
      </w:r>
    </w:p>
    <w:p>
      <w:pPr>
        <w:pStyle w:val="ListBullet"/>
      </w:pPr>
      <w:r>
        <w:t>Entrepreneurship, product design, and innovation.</w:t>
      </w:r>
    </w:p>
    <w:p>
      <w:pPr>
        <w:pStyle w:val="Heading2"/>
      </w:pPr>
      <w:r>
        <w:t>12.5 Professional education remains rigorous</w:t>
      </w:r>
    </w:p>
    <w:p>
      <w:r>
        <w:t>Medicine, engineering, law, architecture, and other regulated or highly specialized disciplines would continue to have structured pathways, prerequisites, laboratories, clinical or field training, and professional standards. The reform is intended to modernize specialization, not dilute it. Simulation, AI-assisted tools, advanced instrumentation, contemporary research methods, and interdisciplinary exposure should be integrated continuously.</w:t>
      </w:r>
    </w:p>
    <w:p>
      <w:pPr>
        <w:pStyle w:val="Heading2"/>
      </w:pPr>
      <w:r>
        <w:t>12.6 Assessment reform</w:t>
      </w:r>
    </w:p>
    <w:p>
      <w:r>
        <w:t>A flexible curriculum requires assessment beyond a single examination culture. Portfolios, projects, laboratories, oral presentations, apprenticeships, community service, research, and demonstrated competencies can complement examinations. National standards can define outcomes while allowing multiple ways to demonstrate mastery.</w:t>
      </w:r>
    </w:p>
    <w:p>
      <w:pPr>
        <w:pStyle w:val="Heading1"/>
      </w:pPr>
      <w:r>
        <w:t>13. Twenty Frontier Research Universities</w:t>
      </w:r>
    </w:p>
    <w:p>
      <w:r>
        <w:t>A national network of approximately 20 large multidisciplinary research universities would be designed around discovery, invention, strategic capability, and advanced postgraduate education. They should be geographically distributed and connected to government laboratories, hospitals, industry, startups, and international research networks.</w:t>
      </w:r>
    </w:p>
    <w:p>
      <w:pPr>
        <w:pStyle w:val="Heading2"/>
      </w:pPr>
      <w:r>
        <w:t>13.1 Priority clusters</w:t>
      </w:r>
    </w:p>
    <w:p>
      <w:pPr>
        <w:pStyle w:val="ListBullet"/>
      </w:pPr>
      <w:r>
        <w:t>Defence and strategic technologies.</w:t>
      </w:r>
    </w:p>
    <w:p>
      <w:pPr>
        <w:pStyle w:val="ListBullet"/>
      </w:pPr>
      <w:r>
        <w:t>Medical science, public-health technology, biotechnology, and drug discovery.</w:t>
      </w:r>
    </w:p>
    <w:p>
      <w:pPr>
        <w:pStyle w:val="ListBullet"/>
      </w:pPr>
      <w:r>
        <w:t>Nanotechnology and advanced materials.</w:t>
      </w:r>
    </w:p>
    <w:p>
      <w:pPr>
        <w:pStyle w:val="ListBullet"/>
      </w:pPr>
      <w:r>
        <w:t>Robotics, autonomous systems, and advanced manufacturing.</w:t>
      </w:r>
    </w:p>
    <w:p>
      <w:pPr>
        <w:pStyle w:val="ListBullet"/>
      </w:pPr>
      <w:r>
        <w:t>Artificial intelligence and next-generation computing.</w:t>
      </w:r>
    </w:p>
    <w:p>
      <w:pPr>
        <w:pStyle w:val="ListBullet"/>
      </w:pPr>
      <w:r>
        <w:t>Quantum science and technologies.</w:t>
      </w:r>
    </w:p>
    <w:p>
      <w:pPr>
        <w:pStyle w:val="ListBullet"/>
      </w:pPr>
      <w:r>
        <w:t>Aerospace and space systems.</w:t>
      </w:r>
    </w:p>
    <w:p>
      <w:pPr>
        <w:pStyle w:val="ListBullet"/>
      </w:pPr>
      <w:r>
        <w:t>Energy storage, clean energy, and climate technologies.</w:t>
      </w:r>
    </w:p>
    <w:p>
      <w:pPr>
        <w:pStyle w:val="ListBullet"/>
      </w:pPr>
      <w:r>
        <w:t>Semiconductors, photonics, communications, and sensing.</w:t>
      </w:r>
    </w:p>
    <w:p>
      <w:pPr>
        <w:pStyle w:val="Heading2"/>
      </w:pPr>
      <w:r>
        <w:t>13.2 Research-to-impact pipeline</w:t>
      </w:r>
    </w:p>
    <w:p>
      <w:r>
        <w:t>The universities should make it easier to move from fundamental research to prototype, validation, patent, startup, clinical or field testing, procurement, and industrial scale-up. Shared laboratories and high-cost equipment would reduce duplication and allow smaller research groups to access world-class infrastructure.</w:t>
      </w:r>
    </w:p>
    <w:p>
      <w:pPr>
        <w:pStyle w:val="Heading2"/>
      </w:pPr>
      <w:r>
        <w:t>13.3 Global talent ecosystem</w:t>
      </w:r>
    </w:p>
    <w:p>
      <w:r>
        <w:t>These institutions should actively attract exceptional students, researchers, professors, founders, and members of the Indian diaspora from abroad. The aspiration is analogous in spirit — not institutional form — to historic centers such as Takshashila and Nalanda: India as a destination where scholars from many regions meet, teach, debate, and create knowledge.</w:t>
      </w:r>
    </w:p>
    <w:p>
      <w:pPr>
        <w:pStyle w:val="Heading2"/>
      </w:pPr>
      <w:r>
        <w:t>13.4 Safeguards</w:t>
      </w:r>
    </w:p>
    <w:p>
      <w:r>
        <w:t>Openness should coexist with research ethics, biosafety, cybersecurity, export-control compliance where applicable, protection of sensitive defence work, responsible AI governance, and clear intellectual-property rules. International collaboration should be encouraged without treating every research domain as equally open or equally sensitive.</w:t>
      </w:r>
    </w:p>
    <w:p>
      <w:pPr>
        <w:pStyle w:val="Heading1"/>
      </w:pPr>
      <w:r>
        <w:t>14. Twenty Universities for Sanatan Dharma and Indic Knowledge Traditions</w:t>
      </w:r>
    </w:p>
    <w:p>
      <w:r>
        <w:t>A parallel network of approximately 20 major universities would be devoted to the preservation, teaching, translation, critical study, practice, and renewal of Sanatan Dharma and wider Indic knowledge traditions.</w:t>
      </w:r>
    </w:p>
    <w:p>
      <w:pPr>
        <w:pStyle w:val="Heading2"/>
      </w:pPr>
      <w:r>
        <w:t>14.1 Academic fields</w:t>
      </w:r>
    </w:p>
    <w:p>
      <w:pPr>
        <w:pStyle w:val="ListBullet"/>
      </w:pPr>
      <w:r>
        <w:t>Sanskrit and other classical and regional languages.</w:t>
      </w:r>
    </w:p>
    <w:p>
      <w:pPr>
        <w:pStyle w:val="ListBullet"/>
      </w:pPr>
      <w:r>
        <w:t>Vedas, Upanishads, Itihasa, Puranic literature, and commentarial traditions.</w:t>
      </w:r>
    </w:p>
    <w:p>
      <w:pPr>
        <w:pStyle w:val="ListBullet"/>
      </w:pPr>
      <w:r>
        <w:t>Vedanta, Yoga, Nyaya, Mimamsa, Samkhya, Vaisheshika, and other philosophical systems.</w:t>
      </w:r>
    </w:p>
    <w:p>
      <w:pPr>
        <w:pStyle w:val="ListBullet"/>
      </w:pPr>
      <w:r>
        <w:t>Agama, temple traditions, ritual studies, and Tantra studies.</w:t>
      </w:r>
    </w:p>
    <w:p>
      <w:pPr>
        <w:pStyle w:val="ListBullet"/>
      </w:pPr>
      <w:r>
        <w:t>Manuscriptology, palaeography, epigraphy, archaeology, and textual criticism.</w:t>
      </w:r>
    </w:p>
    <w:p>
      <w:pPr>
        <w:pStyle w:val="ListBullet"/>
      </w:pPr>
      <w:r>
        <w:t>Indian mathematics, astronomy, architecture, arts, music, aesthetics, and knowledge history.</w:t>
      </w:r>
    </w:p>
    <w:p>
      <w:pPr>
        <w:pStyle w:val="ListBullet"/>
      </w:pPr>
      <w:r>
        <w:t>Ayurveda and the history of Indian medical traditions, taught with appropriate distinctions between traditional frameworks and validated clinical claims.</w:t>
      </w:r>
    </w:p>
    <w:p>
      <w:pPr>
        <w:pStyle w:val="ListBullet"/>
      </w:pPr>
      <w:r>
        <w:t>Comparative religion, comparative philosophy, and global intellectual history.</w:t>
      </w:r>
    </w:p>
    <w:p>
      <w:pPr>
        <w:pStyle w:val="Heading2"/>
      </w:pPr>
      <w:r>
        <w:t>14.2 Yoga, meditation, chakras and esoteric traditions</w:t>
      </w:r>
    </w:p>
    <w:p>
      <w:r>
        <w:t>The universities could teach Yoga, meditation, pranayama, chakra traditions, and other spiritual or esoteric systems in their historical, textual, philosophical, and practice contexts. Where claims concern measurable physiology, medicine, psychology, or physical effects, research programs should test them using appropriate modern methods. The institution should clearly distinguish traditional doctrine, practitioner experience, philosophical interpretation, historical evidence, and experimentally established findings.</w:t>
      </w:r>
    </w:p>
    <w:p>
      <w:pPr>
        <w:pStyle w:val="Heading2"/>
      </w:pPr>
      <w:r>
        <w:t>14.3 Preservation infrastructure</w:t>
      </w:r>
    </w:p>
    <w:p>
      <w:pPr>
        <w:pStyle w:val="ListBullet"/>
      </w:pPr>
      <w:r>
        <w:t>National manuscript digitization and conservation laboratories.</w:t>
      </w:r>
    </w:p>
    <w:p>
      <w:pPr>
        <w:pStyle w:val="ListBullet"/>
      </w:pPr>
      <w:r>
        <w:t>Critical editions, translations, dictionaries, concordances, and searchable corpora.</w:t>
      </w:r>
    </w:p>
    <w:p>
      <w:pPr>
        <w:pStyle w:val="ListBullet"/>
      </w:pPr>
      <w:r>
        <w:t>Oral-history and living-tradition documentation.</w:t>
      </w:r>
    </w:p>
    <w:p>
      <w:pPr>
        <w:pStyle w:val="ListBullet"/>
      </w:pPr>
      <w:r>
        <w:t>Temple architecture, iconography, music, ritual, and craft archives.</w:t>
      </w:r>
    </w:p>
    <w:p>
      <w:pPr>
        <w:pStyle w:val="ListBullet"/>
      </w:pPr>
      <w:r>
        <w:t>Fellowships for traditional scholars as well as conventionally trained academics.</w:t>
      </w:r>
    </w:p>
    <w:p>
      <w:pPr>
        <w:pStyle w:val="ListBullet"/>
      </w:pPr>
      <w:r>
        <w:t>International programs for serious Indic and Sanatan studies.</w:t>
      </w:r>
    </w:p>
    <w:p>
      <w:pPr>
        <w:pStyle w:val="Heading1"/>
      </w:pPr>
      <w:r>
        <w:t>15. How the System Connects</w:t>
      </w:r>
    </w:p>
    <w:p>
      <w:r>
        <w:t>The strength of the proposal is not any single program but the way the pieces reinforce one another. A resident should be able to move through a continuous local-to-national opportunity chain.</w:t>
      </w:r>
    </w:p>
    <w:tbl>
      <w:tblPr>
        <w:tblStyle w:val="LightShading-Accent1"/>
        <w:tblW w:type="auto" w:w="0"/>
        <w:jc w:val="center"/>
        <w:tblLook w:firstColumn="1" w:firstRow="1" w:lastColumn="0" w:lastRow="0" w:noHBand="0" w:noVBand="1" w:val="04A0"/>
      </w:tblPr>
      <w:tblGrid>
        <w:gridCol w:w="4939"/>
        <w:gridCol w:w="4939"/>
      </w:tblGrid>
      <w:tr>
        <w:tc>
          <w:tcPr>
            <w:tcW w:type="dxa" w:w="4939"/>
            <w:vAlign w:val="center"/>
          </w:tcPr>
          <w:p>
            <w:r>
              <w:rPr>
                <w:b/>
              </w:rPr>
              <w:t>Need / stage</w:t>
            </w:r>
          </w:p>
        </w:tc>
        <w:tc>
          <w:tcPr>
            <w:tcW w:type="dxa" w:w="4939"/>
            <w:vAlign w:val="center"/>
          </w:tcPr>
          <w:p>
            <w:r>
              <w:rPr>
                <w:b/>
              </w:rPr>
              <w:t>System response</w:t>
            </w:r>
          </w:p>
        </w:tc>
      </w:tr>
      <w:tr>
        <w:tc>
          <w:tcPr>
            <w:tcW w:type="dxa" w:w="4939"/>
            <w:vAlign w:val="center"/>
          </w:tcPr>
          <w:p>
            <w:r>
              <w:t>Everyday help</w:t>
            </w:r>
          </w:p>
        </w:tc>
        <w:tc>
          <w:tcPr>
            <w:tcW w:type="dxa" w:w="4939"/>
            <w:vAlign w:val="center"/>
          </w:tcPr>
          <w:p>
            <w:r>
              <w:t>Community Support Centre and local task exchange</w:t>
            </w:r>
          </w:p>
        </w:tc>
      </w:tr>
      <w:tr>
        <w:tc>
          <w:tcPr>
            <w:tcW w:type="dxa" w:w="4939"/>
            <w:vAlign w:val="center"/>
          </w:tcPr>
          <w:p>
            <w:r>
              <w:t>No income</w:t>
            </w:r>
          </w:p>
        </w:tc>
        <w:tc>
          <w:tcPr>
            <w:tcW w:type="dxa" w:w="4939"/>
            <w:vAlign w:val="center"/>
          </w:tcPr>
          <w:p>
            <w:r>
              <w:t>Paid community work + skills assessment</w:t>
            </w:r>
          </w:p>
        </w:tc>
      </w:tr>
      <w:tr>
        <w:tc>
          <w:tcPr>
            <w:tcW w:type="dxa" w:w="4939"/>
            <w:vAlign w:val="center"/>
          </w:tcPr>
          <w:p>
            <w:r>
              <w:t>Needs skills</w:t>
            </w:r>
          </w:p>
        </w:tc>
        <w:tc>
          <w:tcPr>
            <w:tcW w:type="dxa" w:w="4939"/>
            <w:vAlign w:val="center"/>
          </w:tcPr>
          <w:p>
            <w:r>
              <w:t>Learning Park / national digital curriculum</w:t>
            </w:r>
          </w:p>
        </w:tc>
      </w:tr>
      <w:tr>
        <w:tc>
          <w:tcPr>
            <w:tcW w:type="dxa" w:w="4939"/>
            <w:vAlign w:val="center"/>
          </w:tcPr>
          <w:p>
            <w:r>
              <w:t>Ready for better work</w:t>
            </w:r>
          </w:p>
        </w:tc>
        <w:tc>
          <w:tcPr>
            <w:tcW w:type="dxa" w:w="4939"/>
            <w:vAlign w:val="center"/>
          </w:tcPr>
          <w:p>
            <w:r>
              <w:t>Local or cross-unit employment matching</w:t>
            </w:r>
          </w:p>
        </w:tc>
      </w:tr>
      <w:tr>
        <w:tc>
          <w:tcPr>
            <w:tcW w:type="dxa" w:w="4939"/>
            <w:vAlign w:val="center"/>
          </w:tcPr>
          <w:p>
            <w:r>
              <w:t>Student wants experience</w:t>
            </w:r>
          </w:p>
        </w:tc>
        <w:tc>
          <w:tcPr>
            <w:tcW w:type="dxa" w:w="4939"/>
            <w:vAlign w:val="center"/>
          </w:tcPr>
          <w:p>
            <w:r>
              <w:t>Verified voluntary civic service</w:t>
            </w:r>
          </w:p>
        </w:tc>
      </w:tr>
      <w:tr>
        <w:tc>
          <w:tcPr>
            <w:tcW w:type="dxa" w:w="4939"/>
            <w:vAlign w:val="center"/>
          </w:tcPr>
          <w:p>
            <w:r>
              <w:t>Family under stress</w:t>
            </w:r>
          </w:p>
        </w:tc>
        <w:tc>
          <w:tcPr>
            <w:tcW w:type="dxa" w:w="4939"/>
            <w:vAlign w:val="center"/>
          </w:tcPr>
          <w:p>
            <w:r>
              <w:t>Early support + professional referral</w:t>
            </w:r>
          </w:p>
        </w:tc>
      </w:tr>
      <w:tr>
        <w:tc>
          <w:tcPr>
            <w:tcW w:type="dxa" w:w="4939"/>
            <w:vAlign w:val="center"/>
          </w:tcPr>
          <w:p>
            <w:r>
              <w:t>Community fragmentation</w:t>
            </w:r>
          </w:p>
        </w:tc>
        <w:tc>
          <w:tcPr>
            <w:tcW w:type="dxa" w:w="4939"/>
            <w:vAlign w:val="center"/>
          </w:tcPr>
          <w:p>
            <w:r>
              <w:t>Culture, sports, language, and cohesion programs</w:t>
            </w:r>
          </w:p>
        </w:tc>
      </w:tr>
      <w:tr>
        <w:tc>
          <w:tcPr>
            <w:tcW w:type="dxa" w:w="4939"/>
            <w:vAlign w:val="center"/>
          </w:tcPr>
          <w:p>
            <w:r>
              <w:t>High academic potential</w:t>
            </w:r>
          </w:p>
        </w:tc>
        <w:tc>
          <w:tcPr>
            <w:tcW w:type="dxa" w:w="4939"/>
            <w:vAlign w:val="center"/>
          </w:tcPr>
          <w:p>
            <w:r>
              <w:t>Flexible curriculum + advanced specialization</w:t>
            </w:r>
          </w:p>
        </w:tc>
      </w:tr>
      <w:tr>
        <w:tc>
          <w:tcPr>
            <w:tcW w:type="dxa" w:w="4939"/>
            <w:vAlign w:val="center"/>
          </w:tcPr>
          <w:p>
            <w:r>
              <w:t>Research talent</w:t>
            </w:r>
          </w:p>
        </w:tc>
        <w:tc>
          <w:tcPr>
            <w:tcW w:type="dxa" w:w="4939"/>
            <w:vAlign w:val="center"/>
          </w:tcPr>
          <w:p>
            <w:r>
              <w:t>Frontier research university network</w:t>
            </w:r>
          </w:p>
        </w:tc>
      </w:tr>
      <w:tr>
        <w:tc>
          <w:tcPr>
            <w:tcW w:type="dxa" w:w="4939"/>
            <w:vAlign w:val="center"/>
          </w:tcPr>
          <w:p>
            <w:r>
              <w:t>Indic/Sanatan scholarship</w:t>
            </w:r>
          </w:p>
        </w:tc>
        <w:tc>
          <w:tcPr>
            <w:tcW w:type="dxa" w:w="4939"/>
            <w:vAlign w:val="center"/>
          </w:tcPr>
          <w:p>
            <w:r>
              <w:t>Civilizational knowledge university network</w:t>
            </w:r>
          </w:p>
        </w:tc>
      </w:tr>
    </w:tbl>
    <w:p>
      <w:pPr>
        <w:pStyle w:val="Heading1"/>
      </w:pPr>
      <w:r>
        <w:t>16. Governance Principles and Institutional Safeguards</w:t>
      </w:r>
    </w:p>
    <w:p>
      <w:r>
        <w:t>Because the model brings local government, money, data, employment, education, and social support close together, safeguards are not optional. The more capable a local system becomes, the more important it is to prevent capture, discrimination, surveillance, corruption, coercion, and arbitrary authority.</w:t>
      </w:r>
    </w:p>
    <w:p>
      <w:pPr>
        <w:pStyle w:val="ListBullet"/>
      </w:pPr>
      <w:r>
        <w:t>Constitutional and legal supremacy: micro-units supplement rather than override statutory institutions.</w:t>
      </w:r>
    </w:p>
    <w:p>
      <w:pPr>
        <w:pStyle w:val="ListBullet"/>
      </w:pPr>
      <w:r>
        <w:t>Equal access: services should not depend on caste, religion, language, gender, political affiliation, wealth, or personal connections.</w:t>
      </w:r>
    </w:p>
    <w:p>
      <w:pPr>
        <w:pStyle w:val="ListBullet"/>
      </w:pPr>
      <w:r>
        <w:t>Subsidiarity: solve problems at the lowest competent level, but escalate when expertise, scale, rights, or safety require it.</w:t>
      </w:r>
    </w:p>
    <w:p>
      <w:pPr>
        <w:pStyle w:val="ListBullet"/>
      </w:pPr>
      <w:r>
        <w:t>Data minimization: collect only what is necessary for a defined service.</w:t>
      </w:r>
    </w:p>
    <w:p>
      <w:pPr>
        <w:pStyle w:val="ListBullet"/>
      </w:pPr>
      <w:r>
        <w:t>Due process: sanctions, exclusions, or referrals must follow clear rules and allow review where appropriate.</w:t>
      </w:r>
    </w:p>
    <w:p>
      <w:pPr>
        <w:pStyle w:val="ListBullet"/>
      </w:pPr>
      <w:r>
        <w:t>Professional boundaries: volunteers complement doctors, police, engineers, counselors, teachers, and social workers; they do not impersonate them.</w:t>
      </w:r>
    </w:p>
    <w:p>
      <w:pPr>
        <w:pStyle w:val="ListBullet"/>
      </w:pPr>
      <w:r>
        <w:t>Financial transparency: residents can see where local money goes.</w:t>
      </w:r>
    </w:p>
    <w:p>
      <w:pPr>
        <w:pStyle w:val="ListBullet"/>
      </w:pPr>
      <w:r>
        <w:t>Independent audit and grievance channels.</w:t>
      </w:r>
    </w:p>
    <w:p>
      <w:pPr>
        <w:pStyle w:val="ListBullet"/>
      </w:pPr>
      <w:r>
        <w:t>Accessibility and multilingual service design.</w:t>
      </w:r>
    </w:p>
    <w:p>
      <w:pPr>
        <w:pStyle w:val="ListBullet"/>
      </w:pPr>
      <w:r>
        <w:t>Regular evaluation based on outcomes rather than publicity or expenditure alone.</w:t>
      </w:r>
    </w:p>
    <w:p>
      <w:pPr>
        <w:pStyle w:val="Heading1"/>
      </w:pPr>
      <w:r>
        <w:t>17. Suggested Implementation Path</w:t>
      </w:r>
    </w:p>
    <w:p>
      <w:pPr>
        <w:pStyle w:val="Heading2"/>
      </w:pPr>
      <w:r>
        <w:t>17.1 Phase 0 — Design and simulation</w:t>
      </w:r>
    </w:p>
    <w:p>
      <w:pPr>
        <w:pStyle w:val="ListBullet"/>
      </w:pPr>
      <w:r>
        <w:t>Model alternative unit sizes and boundary rules.</w:t>
      </w:r>
    </w:p>
    <w:p>
      <w:pPr>
        <w:pStyle w:val="ListBullet"/>
      </w:pPr>
      <w:r>
        <w:t>Test fiscal assumptions across rich, middle-income, and poor communities.</w:t>
      </w:r>
    </w:p>
    <w:p>
      <w:pPr>
        <w:pStyle w:val="ListBullet"/>
      </w:pPr>
      <w:r>
        <w:t>Define which functions are local, shared, municipal/district, state, or national.</w:t>
      </w:r>
    </w:p>
    <w:p>
      <w:pPr>
        <w:pStyle w:val="ListBullet"/>
      </w:pPr>
      <w:r>
        <w:t>Create legal, privacy, labor, child-safety, and procurement frameworks.</w:t>
      </w:r>
    </w:p>
    <w:p>
      <w:pPr>
        <w:pStyle w:val="ListBullet"/>
      </w:pPr>
      <w:r>
        <w:t>Design common technology standards and interoperability.</w:t>
      </w:r>
    </w:p>
    <w:p>
      <w:pPr>
        <w:pStyle w:val="Heading2"/>
      </w:pPr>
      <w:r>
        <w:t>17.2 Phase 1 — Limited pilots</w:t>
      </w:r>
    </w:p>
    <w:p>
      <w:r>
        <w:t>Pilot the model in a deliberately diverse set of locations — dense urban neighborhoods, small cities, peri-urban areas, prosperous rural areas, poorer rural areas, tribal or geographically difficult regions — rather than testing only where success is easiest.</w:t>
      </w:r>
    </w:p>
    <w:p>
      <w:pPr>
        <w:pStyle w:val="ListBullet"/>
      </w:pPr>
      <w:r>
        <w:t>Start with Support Centres, transparent small-project funds, task matching, learning programs, and community events.</w:t>
      </w:r>
    </w:p>
    <w:p>
      <w:pPr>
        <w:pStyle w:val="ListBullet"/>
      </w:pPr>
      <w:r>
        <w:t>Measure participation, cost per service, job creation, resident satisfaction, inclusion, grievance rates, and project completion.</w:t>
      </w:r>
    </w:p>
    <w:p>
      <w:pPr>
        <w:pStyle w:val="ListBullet"/>
      </w:pPr>
      <w:r>
        <w:t>Keep sensitive social monitoring and enforcement powers out of the pilot unless a clear statutory framework exists.</w:t>
      </w:r>
    </w:p>
    <w:p>
      <w:pPr>
        <w:pStyle w:val="Heading2"/>
      </w:pPr>
      <w:r>
        <w:t>17.3 Phase 2 — Cluster networks</w:t>
      </w:r>
    </w:p>
    <w:p>
      <w:r>
        <w:t>Connect successful units so they can share specialists, equipment, training, procurement, and job opportunities. This phase tests the central local-first/escalate-next principle.</w:t>
      </w:r>
    </w:p>
    <w:p>
      <w:pPr>
        <w:pStyle w:val="Heading2"/>
      </w:pPr>
      <w:r>
        <w:t>17.4 Phase 3 — State-scale interoperability</w:t>
      </w:r>
    </w:p>
    <w:p>
      <w:r>
        <w:t>Standardize digital protocols and service definitions while allowing local cultural and administrative variation. Poorer units receive equalization support so quality does not depend entirely on local wealth.</w:t>
      </w:r>
    </w:p>
    <w:p>
      <w:pPr>
        <w:pStyle w:val="Heading2"/>
      </w:pPr>
      <w:r>
        <w:t>17.5 Phase 4 — National ecosystem</w:t>
      </w:r>
    </w:p>
    <w:p>
      <w:r>
        <w:t>At national scale, the system becomes a network rather than a single centralized bureaucracy: common standards, identity and consent mechanisms, learning resources, research networks, mobility of skills, and transparent fiscal transfers connect locally governed units.</w:t>
      </w:r>
    </w:p>
    <w:p>
      <w:pPr>
        <w:pStyle w:val="Heading1"/>
      </w:pPr>
      <w:r>
        <w:t>18. What Success Should Be Measured By</w:t>
      </w:r>
    </w:p>
    <w:p>
      <w:pPr>
        <w:pStyle w:val="ListBullet"/>
      </w:pPr>
      <w:r>
        <w:t>Time taken to resolve ordinary local service requests.</w:t>
      </w:r>
    </w:p>
    <w:p>
      <w:pPr>
        <w:pStyle w:val="ListBullet"/>
      </w:pPr>
      <w:r>
        <w:t>Condition and reliability of local public infrastructure.</w:t>
      </w:r>
    </w:p>
    <w:p>
      <w:pPr>
        <w:pStyle w:val="ListBullet"/>
      </w:pPr>
      <w:r>
        <w:t>Number of residents moving from unemployment into paid work and then into higher-skilled work.</w:t>
      </w:r>
    </w:p>
    <w:p>
      <w:pPr>
        <w:pStyle w:val="ListBullet"/>
      </w:pPr>
      <w:r>
        <w:t>Household access to emergency support, learning, and digital services.</w:t>
      </w:r>
    </w:p>
    <w:p>
      <w:pPr>
        <w:pStyle w:val="ListBullet"/>
      </w:pPr>
      <w:r>
        <w:t>Participation in sports, cultural, volunteer, and intergenerational programs.</w:t>
      </w:r>
    </w:p>
    <w:p>
      <w:pPr>
        <w:pStyle w:val="ListBullet"/>
      </w:pPr>
      <w:r>
        <w:t>Adult literacy, digital literacy, and completion of community learning modules.</w:t>
      </w:r>
    </w:p>
    <w:p>
      <w:pPr>
        <w:pStyle w:val="ListBullet"/>
      </w:pPr>
      <w:r>
        <w:t>Student civic-service participation and quality of learning outcomes.</w:t>
      </w:r>
    </w:p>
    <w:p>
      <w:pPr>
        <w:pStyle w:val="ListBullet"/>
      </w:pPr>
      <w:r>
        <w:t>Reduction in unresolved local grievances and repeat service failures.</w:t>
      </w:r>
    </w:p>
    <w:p>
      <w:pPr>
        <w:pStyle w:val="ListBullet"/>
      </w:pPr>
      <w:r>
        <w:t>Research publications, patents, prototypes, startups, clinical/field impact, and technology transfer.</w:t>
      </w:r>
    </w:p>
    <w:p>
      <w:pPr>
        <w:pStyle w:val="ListBullet"/>
      </w:pPr>
      <w:r>
        <w:t>Preservation, digitization, translation, and scholarly use of Indic manuscripts and knowledge resources.</w:t>
      </w:r>
    </w:p>
    <w:p>
      <w:pPr>
        <w:pStyle w:val="ListBullet"/>
      </w:pPr>
      <w:r>
        <w:t>Equity between richer and poorer micro-units.</w:t>
      </w:r>
    </w:p>
    <w:p>
      <w:pPr>
        <w:pStyle w:val="ListBullet"/>
      </w:pPr>
      <w:r>
        <w:t>Resident trust measured independently, alongside privacy and grievance indicators.</w:t>
      </w:r>
    </w:p>
    <w:p>
      <w:pPr>
        <w:pStyle w:val="Heading1"/>
      </w:pPr>
      <w:r>
        <w:t>19. Major Risks to Solve Before Adoption</w:t>
      </w:r>
    </w:p>
    <w:tbl>
      <w:tblPr>
        <w:tblStyle w:val="LightShading-Accent1"/>
        <w:tblW w:type="auto" w:w="0"/>
        <w:jc w:val="center"/>
        <w:tblLook w:firstColumn="1" w:firstRow="1" w:lastColumn="0" w:lastRow="0" w:noHBand="0" w:noVBand="1" w:val="04A0"/>
      </w:tblPr>
      <w:tblGrid>
        <w:gridCol w:w="4939"/>
        <w:gridCol w:w="4939"/>
      </w:tblGrid>
      <w:tr>
        <w:tc>
          <w:tcPr>
            <w:tcW w:type="dxa" w:w="4939"/>
            <w:vAlign w:val="center"/>
          </w:tcPr>
          <w:p>
            <w:r>
              <w:rPr>
                <w:b/>
              </w:rPr>
              <w:t>Risk</w:t>
            </w:r>
          </w:p>
        </w:tc>
        <w:tc>
          <w:tcPr>
            <w:tcW w:type="dxa" w:w="4939"/>
            <w:vAlign w:val="center"/>
          </w:tcPr>
          <w:p>
            <w:r>
              <w:rPr>
                <w:b/>
              </w:rPr>
              <w:t>Design response</w:t>
            </w:r>
          </w:p>
        </w:tc>
      </w:tr>
      <w:tr>
        <w:tc>
          <w:tcPr>
            <w:tcW w:type="dxa" w:w="4939"/>
            <w:vAlign w:val="center"/>
          </w:tcPr>
          <w:p>
            <w:r>
              <w:t>Local elite capture</w:t>
            </w:r>
          </w:p>
        </w:tc>
        <w:tc>
          <w:tcPr>
            <w:tcW w:type="dxa" w:w="4939"/>
            <w:vAlign w:val="center"/>
          </w:tcPr>
          <w:p>
            <w:r>
              <w:t>Transparent rules, rotation, audits, independent grievance channels</w:t>
            </w:r>
          </w:p>
        </w:tc>
      </w:tr>
      <w:tr>
        <w:tc>
          <w:tcPr>
            <w:tcW w:type="dxa" w:w="4939"/>
            <w:vAlign w:val="center"/>
          </w:tcPr>
          <w:p>
            <w:r>
              <w:t>Poor units fall behind</w:t>
            </w:r>
          </w:p>
        </w:tc>
        <w:tc>
          <w:tcPr>
            <w:tcW w:type="dxa" w:w="4939"/>
            <w:vAlign w:val="center"/>
          </w:tcPr>
          <w:p>
            <w:r>
              <w:t>Equalization grants and national/state matching funds</w:t>
            </w:r>
          </w:p>
        </w:tc>
      </w:tr>
      <w:tr>
        <w:tc>
          <w:tcPr>
            <w:tcW w:type="dxa" w:w="4939"/>
            <w:vAlign w:val="center"/>
          </w:tcPr>
          <w:p>
            <w:r>
              <w:t>Community database becomes surveillance</w:t>
            </w:r>
          </w:p>
        </w:tc>
        <w:tc>
          <w:tcPr>
            <w:tcW w:type="dxa" w:w="4939"/>
            <w:vAlign w:val="center"/>
          </w:tcPr>
          <w:p>
            <w:r>
              <w:t>Consent, minimization, access controls, deletion rules, independent privacy oversight</w:t>
            </w:r>
          </w:p>
        </w:tc>
      </w:tr>
      <w:tr>
        <w:tc>
          <w:tcPr>
            <w:tcW w:type="dxa" w:w="4939"/>
            <w:vAlign w:val="center"/>
          </w:tcPr>
          <w:p>
            <w:r>
              <w:t>Volunteer work displaces paid jobs</w:t>
            </w:r>
          </w:p>
        </w:tc>
        <w:tc>
          <w:tcPr>
            <w:tcW w:type="dxa" w:w="4939"/>
            <w:vAlign w:val="center"/>
          </w:tcPr>
          <w:p>
            <w:r>
              <w:t>Define volunteer roles narrowly; protect professional and wage-based work</w:t>
            </w:r>
          </w:p>
        </w:tc>
      </w:tr>
      <w:tr>
        <w:tc>
          <w:tcPr>
            <w:tcW w:type="dxa" w:w="4939"/>
            <w:vAlign w:val="center"/>
          </w:tcPr>
          <w:p>
            <w:r>
              <w:t>Informal mediation hides abuse</w:t>
            </w:r>
          </w:p>
        </w:tc>
        <w:tc>
          <w:tcPr>
            <w:tcW w:type="dxa" w:w="4939"/>
            <w:vAlign w:val="center"/>
          </w:tcPr>
          <w:p>
            <w:r>
              <w:t>Mandatory professional/legal referral for violence, abuse, coercion, and serious threats</w:t>
            </w:r>
          </w:p>
        </w:tc>
      </w:tr>
      <w:tr>
        <w:tc>
          <w:tcPr>
            <w:tcW w:type="dxa" w:w="4939"/>
            <w:vAlign w:val="center"/>
          </w:tcPr>
          <w:p>
            <w:r>
              <w:t>Hate-monitoring becomes censorship</w:t>
            </w:r>
          </w:p>
        </w:tc>
        <w:tc>
          <w:tcPr>
            <w:tcW w:type="dxa" w:w="4939"/>
            <w:vAlign w:val="center"/>
          </w:tcPr>
          <w:p>
            <w:r>
              <w:t>Narrow focus on unlawful conduct, due process, appeals, judicial oversight</w:t>
            </w:r>
          </w:p>
        </w:tc>
      </w:tr>
      <w:tr>
        <w:tc>
          <w:tcPr>
            <w:tcW w:type="dxa" w:w="4939"/>
            <w:vAlign w:val="center"/>
          </w:tcPr>
          <w:p>
            <w:r>
              <w:t>Students used as free labor</w:t>
            </w:r>
          </w:p>
        </w:tc>
        <w:tc>
          <w:tcPr>
            <w:tcW w:type="dxa" w:w="4939"/>
            <w:vAlign w:val="center"/>
          </w:tcPr>
          <w:p>
            <w:r>
              <w:t>Age limits, supervision, safety rules, educational objectives, voluntary participation</w:t>
            </w:r>
          </w:p>
        </w:tc>
      </w:tr>
      <w:tr>
        <w:tc>
          <w:tcPr>
            <w:tcW w:type="dxa" w:w="4939"/>
            <w:vAlign w:val="center"/>
          </w:tcPr>
          <w:p>
            <w:r>
              <w:t>Rigid central curriculum returns digitally</w:t>
            </w:r>
          </w:p>
        </w:tc>
        <w:tc>
          <w:tcPr>
            <w:tcW w:type="dxa" w:w="4939"/>
            <w:vAlign w:val="center"/>
          </w:tcPr>
          <w:p>
            <w:r>
              <w:t>Modular choice, multiple providers, local mentoring, transparent standards</w:t>
            </w:r>
          </w:p>
        </w:tc>
      </w:tr>
      <w:tr>
        <w:tc>
          <w:tcPr>
            <w:tcW w:type="dxa" w:w="4939"/>
            <w:vAlign w:val="center"/>
          </w:tcPr>
          <w:p>
            <w:r>
              <w:t>Research openness leaks sensitive work</w:t>
            </w:r>
          </w:p>
        </w:tc>
        <w:tc>
          <w:tcPr>
            <w:tcW w:type="dxa" w:w="4939"/>
            <w:vAlign w:val="center"/>
          </w:tcPr>
          <w:p>
            <w:r>
              <w:t>Tiered research-security and IP policies</w:t>
            </w:r>
          </w:p>
        </w:tc>
      </w:tr>
      <w:tr>
        <w:tc>
          <w:tcPr>
            <w:tcW w:type="dxa" w:w="4939"/>
            <w:vAlign w:val="center"/>
          </w:tcPr>
          <w:p>
            <w:r>
              <w:t>Traditional knowledge treated as either unquestionable or worthless</w:t>
            </w:r>
          </w:p>
        </w:tc>
        <w:tc>
          <w:tcPr>
            <w:tcW w:type="dxa" w:w="4939"/>
            <w:vAlign w:val="center"/>
          </w:tcPr>
          <w:p>
            <w:r>
              <w:t>Primary-source scholarship plus transparent empirical testing where claims are testable</w:t>
            </w:r>
          </w:p>
        </w:tc>
      </w:tr>
    </w:tbl>
    <w:p>
      <w:pPr>
        <w:pStyle w:val="Heading1"/>
      </w:pPr>
      <w:r>
        <w:t>20. Draft Charter of Principles</w:t>
      </w:r>
    </w:p>
    <w:p>
      <w:pPr>
        <w:pStyle w:val="ListNumber"/>
      </w:pPr>
      <w:r>
        <w:t>Every person should be able to see meaningful improvement in the place where they live.</w:t>
      </w:r>
    </w:p>
    <w:p>
      <w:pPr>
        <w:pStyle w:val="ListNumber"/>
      </w:pPr>
      <w:r>
        <w:t>Local problems should be solved locally when the local level has the competence to solve them.</w:t>
      </w:r>
    </w:p>
    <w:p>
      <w:pPr>
        <w:pStyle w:val="ListNumber"/>
      </w:pPr>
      <w:r>
        <w:t>No community should be condemned to inferior services because it is poor.</w:t>
      </w:r>
    </w:p>
    <w:p>
      <w:pPr>
        <w:pStyle w:val="ListNumber"/>
      </w:pPr>
      <w:r>
        <w:t>Work should provide dignity, income, skills, and a pathway to advancement.</w:t>
      </w:r>
    </w:p>
    <w:p>
      <w:pPr>
        <w:pStyle w:val="ListNumber"/>
      </w:pPr>
      <w:r>
        <w:t>Help should be easy to ask for and should not require humiliation.</w:t>
      </w:r>
    </w:p>
    <w:p>
      <w:pPr>
        <w:pStyle w:val="ListNumber"/>
      </w:pPr>
      <w:r>
        <w:t>Technology should connect people and services without turning communities into surveillance systems.</w:t>
      </w:r>
    </w:p>
    <w:p>
      <w:pPr>
        <w:pStyle w:val="ListNumber"/>
      </w:pPr>
      <w:r>
        <w:t>Education should discover and develop individual capability rather than force every learner into a small set of streams.</w:t>
      </w:r>
    </w:p>
    <w:p>
      <w:pPr>
        <w:pStyle w:val="ListNumber"/>
      </w:pPr>
      <w:r>
        <w:t>Knowledge should be accessible throughout life and across languages.</w:t>
      </w:r>
    </w:p>
    <w:p>
      <w:pPr>
        <w:pStyle w:val="ListNumber"/>
      </w:pPr>
      <w:r>
        <w:t>Students should have opportunities to serve society before entering adult professional life.</w:t>
      </w:r>
    </w:p>
    <w:p>
      <w:pPr>
        <w:pStyle w:val="ListNumber"/>
      </w:pPr>
      <w:r>
        <w:t>Cultural unity should grow through interaction, language, knowledge, and shared civic life rather than forced sameness.</w:t>
      </w:r>
    </w:p>
    <w:p>
      <w:pPr>
        <w:pStyle w:val="ListNumber"/>
      </w:pPr>
      <w:r>
        <w:t>Scientific ambition and civilizational knowledge can be developed simultaneously.</w:t>
      </w:r>
    </w:p>
    <w:p>
      <w:pPr>
        <w:pStyle w:val="ListNumber"/>
      </w:pPr>
      <w:r>
        <w:t>Tradition should be studied seriously; empirical claims should be tested seriously.</w:t>
      </w:r>
    </w:p>
    <w:p>
      <w:pPr>
        <w:pStyle w:val="ListNumber"/>
      </w:pPr>
      <w:r>
        <w:t>Government, community, universities, industry, civil society, and citizens should be able to cooperate without erasing their distinct responsibilities.</w:t>
      </w:r>
    </w:p>
    <w:p>
      <w:pPr>
        <w:pStyle w:val="ListNumber"/>
      </w:pPr>
      <w:r>
        <w:t>Transparency, rights, safety, and due process must grow alongside local capacity.</w:t>
      </w:r>
    </w:p>
    <w:p>
      <w:pPr>
        <w:pStyle w:val="ListNumber"/>
      </w:pPr>
      <w:r>
        <w:t>The final test of the model is whether ordinary people become safer, more capable, better connected, better educated, and more able to shape their own lives.</w:t>
      </w:r>
    </w:p>
    <w:p>
      <w:pPr>
        <w:pStyle w:val="Heading1"/>
      </w:pPr>
      <w:r>
        <w:t>21. Questions Reserved for the Next Draft</w:t>
      </w:r>
    </w:p>
    <w:p>
      <w:pPr>
        <w:pStyle w:val="ListBullet"/>
      </w:pPr>
      <w:r>
        <w:t>What is the final target population range for a micro-unit, and how should urban and rural thresholds differ?</w:t>
      </w:r>
    </w:p>
    <w:p>
      <w:pPr>
        <w:pStyle w:val="ListBullet"/>
      </w:pPr>
      <w:r>
        <w:t>Should the household contribution be voluntary, statutory, tax-linked, or a matched community fund?</w:t>
      </w:r>
    </w:p>
    <w:p>
      <w:pPr>
        <w:pStyle w:val="ListBullet"/>
      </w:pPr>
      <w:r>
        <w:t>What percentage of local funds should be reserved for maintenance versus new projects?</w:t>
      </w:r>
    </w:p>
    <w:p>
      <w:pPr>
        <w:pStyle w:val="ListBullet"/>
      </w:pPr>
      <w:r>
        <w:t>What exact democratic or administrative body governs each micro-unit?</w:t>
      </w:r>
    </w:p>
    <w:p>
      <w:pPr>
        <w:pStyle w:val="ListBullet"/>
      </w:pPr>
      <w:r>
        <w:t>How should representation work without duplicating municipal, panchayat, or state institutions?</w:t>
      </w:r>
    </w:p>
    <w:p>
      <w:pPr>
        <w:pStyle w:val="ListBullet"/>
      </w:pPr>
      <w:r>
        <w:t>What is the minimum staffing model for a Community Support Centre?</w:t>
      </w:r>
    </w:p>
    <w:p>
      <w:pPr>
        <w:pStyle w:val="ListBullet"/>
      </w:pPr>
      <w:r>
        <w:t>Which services can use a common national technology platform and which must remain decentralized?</w:t>
      </w:r>
    </w:p>
    <w:p>
      <w:pPr>
        <w:pStyle w:val="ListBullet"/>
      </w:pPr>
      <w:r>
        <w:t>How should community workers transition into formal skilled employment?</w:t>
      </w:r>
    </w:p>
    <w:p>
      <w:pPr>
        <w:pStyle w:val="ListBullet"/>
      </w:pPr>
      <w:r>
        <w:t>What accreditation model should recognize flexible school subjects and lifelong learning?</w:t>
      </w:r>
    </w:p>
    <w:p>
      <w:pPr>
        <w:pStyle w:val="ListBullet"/>
      </w:pPr>
      <w:r>
        <w:t>How should the 20 + 20 university networks be funded, governed, and geographically distributed?</w:t>
      </w:r>
    </w:p>
    <w:p>
      <w:pPr>
        <w:pStyle w:val="ListBullet"/>
      </w:pPr>
      <w:r>
        <w:t>What independent institutions should audit finance, privacy, rights, research ethics, and program outcomes?</w:t>
      </w:r>
    </w:p>
    <w:p>
      <w:pPr>
        <w:pStyle w:val="Heading1"/>
      </w:pPr>
      <w:r>
        <w:t>22. Closing Vision</w:t>
      </w:r>
    </w:p>
    <w:p>
      <w:r>
        <w:t>The Ram Rajya model developed so far imagines development not merely as larger budgets or larger institutions, but as the creation of capable communities. A road is maintained because the local unit can act. An elderly resident can ask for help without searching blindly. A person without work can find a first opportunity, learn a skill, and move upward. A student can serve the neighborhood and have that service recognized. A shopkeeper can reclaim time for family. A working adult can study after work. People from different regions can learn one another's languages and traditions. Exceptional researchers can pursue frontier science in India, while scholars and practitioners can preserve and rigorously study India's civilizational knowledge.</w:t>
      </w:r>
    </w:p>
    <w:p>
      <w:r>
        <w:t>The model therefore combines decentralization with national connectivity: strong local units, connected rather than isolated; community participation, bounded by rights and professional standards; cultural rootedness, compatible with pluralism; and ambitious scientific modernization alongside serious civilizational scholarship.</w:t>
      </w:r>
    </w:p>
    <w:p>
      <w:pPr>
        <w:pStyle w:val="Callout"/>
      </w:pPr>
      <w:r>
        <w:t>Working thesis: Ram Rajya, in this project, is approached as a practical architecture of responsibility — a society in which institutions and citizens possess both the means and the obligation to improve the life immediately around them.</w:t>
      </w:r>
    </w:p>
    <w:p/>
    <w:p>
      <w:pPr>
        <w:jc w:val="center"/>
      </w:pPr>
      <w:r>
        <w:rPr>
          <w:b/>
          <w:color w:val="783C0A"/>
        </w:rPr>
        <w:t>— End of Consolidated Draft, Version 1 —</w:t>
      </w:r>
    </w:p>
    <w:sectPr w:rsidR="00FC693F" w:rsidRPr="0006063C" w:rsidSect="00034616">
      <w:headerReference w:type="default" r:id="rId9"/>
      <w:footerReference w:type="default" r:id="rId10"/>
      <w:pgSz w:w="12240" w:h="15840"/>
      <w:pgMar w:top="1008"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Working Concept Paper • Version 1 • September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787878"/>
        <w:sz w:val="16"/>
      </w:rPr>
      <w:t>RAM RAJYA — IDEAL COMMUNITY MODEL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5C300C"/>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5C300C"/>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5C30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5C300C"/>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240"/>
    </w:pPr>
    <w:rPr>
      <w:rFonts w:ascii="Aptos" w:hAnsi="Aptos"/>
      <w:i/>
      <w:color w:val="4B4B4B"/>
      <w:sz w:val="24"/>
    </w:rPr>
  </w:style>
  <w:style w:type="paragraph" w:customStyle="1" w:styleId="Callout">
    <w:name w:val="Callout"/>
    <w:pPr>
      <w:spacing w:before="120" w:after="160"/>
      <w:ind w:left="360" w:right="360"/>
    </w:pPr>
    <w:rPr>
      <w:rFonts w:ascii="Aptos" w:hAnsi="Aptos"/>
      <w:b/>
      <w:color w:val="783C0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